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86</w:t>
      </w:r>
    </w:p>
    <w:p>
      <w:r>
        <w:t>Bundesgericht (BGE), 1992-04-23, FR</w:t>
      </w:r>
    </w:p>
    <w:p>
      <w:r>
        <w:rPr>
          <w:b/>
        </w:rPr>
        <w:t xml:space="preserve">Quelle: </w:t>
      </w:r>
      <w:r>
        <w:t>https://mcp.opencaselaw.ch/entscheid/bge_BGE_123_III_86</w:t>
      </w:r>
    </w:p>
    <w:p>
      <w:r>
        <w:t>FR: ATF 123 III 86</w:t>
      </w:r>
    </w:p>
    <w:p>
      <w:r>
        <w:t>IT: DTF 123 III 86</w:t>
      </w:r>
    </w:p>
    <w:p>
      <w:pPr>
        <w:pStyle w:val="Heading2"/>
      </w:pPr>
      <w:r>
        <w:t>Regeste</w:t>
      </w:r>
    </w:p>
    <w:p>
      <w:r>
        <w:t>Regeste Arbeitsvertrag; fristlose Kündigung; Verwirkung. Eine fristlose Kündigung, die auf denselben Umständen gründet wie die einige Tage zuvor ausgesprochene ordentliche Kündigung, ist nicht gültig (E. 2b).</w:t>
      </w:r>
    </w:p>
    <w:p>
      <w:r>
        <w:t>Regeste Contrat de travail. Résiliation immédiate; forclusion. Une résiliation immédiate, fondée sur les mêmes circonstances que celles ayant entraîné la résiliation ordinaire du contrat quelques jours plus tôt, n'est pas valable (consid. 2b).</w:t>
      </w:r>
    </w:p>
    <w:p>
      <w:r>
        <w:t>Regesto Contratto di lavoro. Risoluzione immediata; preclusione. Una risoluzione immediata del contratto, fondata sulle medesime circostanze che hanno condotto alla disdetta ordinaria qualche giorno prima, non è valida (consid. 2b).</w:t>
      </w:r>
    </w:p>
    <w:p>
      <w:pPr>
        <w:pStyle w:val="Heading2"/>
      </w:pPr>
      <w:r>
        <w:t>Erwägungen</w:t>
      </w:r>
    </w:p>
    <w:p>
      <w:r>
        <w:rPr>
          <w:b/>
        </w:rPr>
        <w:t>E. 2</w:t>
      </w:r>
    </w:p>
    <w:p>
      <w:r>
        <w:t>a) La Chambre d'appel et les parties ont restreint l'examen de la cause à la question de la tardiveté du congé litigieux. Sans doute cette question revêt-elle une importance capitale en matière de licenciement immédiat, du moment qu'une jurisprudence constante du Tribunal fédéral impose à la partie qui résilie un contrat de travail pour de justes motifs l'obligation de les invoquer sans tarder, sous peine de forclusion ( ATF 112 II 41 consid. 3b p. 51, ATF 97 II 142 consid. 2a p. 146, ATF 93 II 18 , chacun avec des références). Cependant, dans la présente espèce, la réponse qui pourrait lui être apportée ne changerait rien au sort du litige, dans la mesure où une autre raison, exposée ci-après, s'oppose de toute façon à l'admission des conclusions de la défenderesse. BGE 123 III 86 S. 88 b) Selon un principe général qui s'applique également à l'exercice de droits formateurs, tels que la résiliation d'un contrat, le créancier qui a le choix entre deux prétentions alternatives en perd le bénéfice, lorsque, faisant usage de cette faculté, il opte pour l'une d'entre elles; dès cet instant, la prétention écartée cesse d'exister (sur la question des obligations alternatives, cf. l' ATF 50 II 40 consid. 1 et VON TUHR/PETER, Allgemeiner Teil des Schweizerischen Obligationenrechts, vol. I, p. 80). Il n'en va pas autrement en matière de contrat de travail: la partie qui apprend l'existence d'un comportement répréhensible de son partenaire contractuel, propre à justifier la cessation immédiate des rapports de travail, et qui entend se séparer de son cocontractant pour ce motif, a le choix entre la résiliation ordinaire et la résiliation extraordinaire du contrat; si elle opte pour le premier terme de l'alternative, elle renonce définitivement au droit de résiliation immédiate, du moins en tant qu'il se fonde sur la même circonstance que celle ayant entraîné la résiliation ordinaire du contrat (SCHWEINGRUBER, Kommentar zum Arbeitsvertrag, 5e éd., n. 9 ad art. 337 CO ; STREIFF/VON KAENEL, Leitfaden zum Arbeitsvertragsrecht, 5e éd., n. 15 ad art. 337 CO ; BRÜHWILER, Kommentar zum Einzelarbeitsvertrag, 2e éd., n. 11 ad art. 337 CO ). En l'espèce, selon les constatations souveraines de la cour cantonale, la défenderesse connaissait déjà, le 23 avril 1992 au plus tard, tous les éléments pouvant fonder un licenciement pour justes motifs. Or, ce jour-là, elle a notifié au demandeur un congé ordinaire pour le 30 juin 1992. En faisant ce choix, elle a donc renoncé définitivement à un licenciement avec effet immédiat à raison des mêmes éléments. Dans ces conditions, la résiliation extraordinaire du contrat qu'elle a signifiée au demandeur par lettre du 27 avril 1992, en y formulant les mêmes griefs que ceux qu'elle avait énoncés quatre jours plus tôt, n'était pas valable, même si elle était intervenue en temps utile par rapport aux circonstances invoquées à son appui, question qui peut rester indécise. Partant, la Chambre d'appel n'a pas violé le droit fédéral en taxant d'injustifiée la résiliation litigieuse et en en tirant les conséquences pécuniaires prévues par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