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461</w:t>
      </w:r>
    </w:p>
    <w:p>
      <w:r>
        <w:t>Bundesgericht (BGE), 1997-01-01, DE</w:t>
      </w:r>
    </w:p>
    <w:p>
      <w:r>
        <w:rPr>
          <w:b/>
        </w:rPr>
        <w:t xml:space="preserve">Quelle: </w:t>
      </w:r>
      <w:r>
        <w:t>https://mcp.opencaselaw.ch/entscheid/bge_BGE_123_III_461</w:t>
      </w:r>
    </w:p>
    <w:p>
      <w:r>
        <w:t>FR: ATF 123 III 461</w:t>
      </w:r>
    </w:p>
    <w:p>
      <w:r>
        <w:t>IT: DTF 123 III 461</w:t>
      </w:r>
    </w:p>
    <w:p>
      <w:pPr>
        <w:pStyle w:val="Heading2"/>
      </w:pPr>
      <w:r>
        <w:t>Regeste</w:t>
      </w:r>
    </w:p>
    <w:p>
      <w:r>
        <w:t>Regeste Art. 738 ZGB und 975 ZGB; Ermittlung des Inhaltes einer Dienstbarkeit. Soweit sich der Inhalt einer Dienstbarkeit aus dem Wortlaut des Grundbucheintrages deutlich ergibt (Art. 738 Abs. 1 ZGB), ist es unzulässig, für die Ermittlung des Inhaltes auf den Erwerbsgrund zurückzugreifen (Art. 738 Abs. 2 ZGB) (E. 2a und b). Stehen sich nicht mehr die ursprünglichen Parteien gegenüber, kann die Löschung oder Änderung des Grundbucheintrages unter Hinweis darauf, dass der Eintrag nicht mit dem Erwerbsgrund übereinstimmt, nur mit einer Grundbuchberichtigungsklage (Art. 975 ZGB) verlangt werden (E. 2c).</w:t>
      </w:r>
    </w:p>
    <w:p>
      <w:r>
        <w:t>Regeste Art. 738 CC et 975 CC; détermination du contenu d'une servitude. Dans la mesure où le contenu d'une servitude se dégage clairement de l'inscription au registre foncier (art. 738 al. 1 CC), il est inadmissible de se référer à l'acte constitutif pour en déterminer le contenu (art. 738 al. 2 CC) (consid. 2a et b). Si l'on n'est plus en présence des parties originaires, la radiation ou la rectification de l'inscription, motif pris de la non correspondance de cette dernière à l'acte constitutif, ne peuvent être exigées que par une action en rectification du registre foncier (art. 975 CC) (consid. 2c).</w:t>
      </w:r>
    </w:p>
    <w:p>
      <w:r>
        <w:t>Regesto Art. 738 CC e 975 CC; determinazione del contenuto di una servitù. Nella misura in cui il contenuto di una servitù risulta chiaramente dal testo dell'iscrizione a registro fondiario (art. 738 cpv. 1 CC), è inammissibile ricorrere al titolo di acquisto per la determinazione del suo contenuto (art. 738 cpv. 2 CC) (consid. 2a e b). Se non si è più in presenza delle parti originarie, la cancellazione o la modifica dell'iscrizione a registro fondiario per il motivo che l'iscrizione non coincide con il titolo di acquisto può unicamente avvenire con un'azione di rettifica del registro fondiario (art. 975 CC) (consid. 2c).</w:t>
      </w:r>
    </w:p>
    <w:p>
      <w:pPr>
        <w:pStyle w:val="Heading2"/>
      </w:pPr>
      <w:r>
        <w:t>Erwägungen</w:t>
      </w:r>
    </w:p>
    <w:p>
      <w:r>
        <w:rPr>
          <w:b/>
        </w:rPr>
        <w:t>E. 1</w:t>
      </w:r>
    </w:p>
    <w:p>
      <w:r>
        <w:t>Der Appellationshof des Kantons Bern ist in seinem Urteil vom 30. April 1997 im wesentlichen davon ausgegangen, dass mit dem am 30. September 1950 vereinbarten und am 2. November 1950 im Grundbuch eingetragenen Wohnrecht nicht nur zugunsten von Walter R. - und seiner Ehefrau -, sondern auch zugunsten ihrer beiden Kinder - den heutigen Klägern - je ein Wohnrecht an der Parterrewohnung in der Liegenschaft der Beklagten auf Lebenszeiten errichtet worden sei. Dieses Wohnrecht sei nicht untergegangen; weder könne aus dem Nichtausüben des Rechtes während längerer Zeit auf einen Verzicht auf das Wohnrecht geschlossen werden, noch könne die Geltendmachung des Wohnrechtes durch die Kläger als rechtsmissbräuchlich bezeichnet werden, da ein Interesse der nicht mehr erwerbstätigen Kläger bestehe, zumindest zeitweise im Haus zu wohnen. Die Beklagte hält diese Begründung in verschiedener Hinsicht für bundesrechtswidrig.</w:t>
      </w:r>
    </w:p>
    <w:p>
      <w:r>
        <w:rPr>
          <w:b/>
        </w:rPr>
        <w:t>E. 2</w:t>
      </w:r>
    </w:p>
    <w:p>
      <w:r>
        <w:t>In erster Linie stellt sich die Beklagte auf den Standpunkt, dass das vertraglich begründete und im Grundbuch eingetragene Wohnrecht nur zu Gunsten von Walter R. und nicht auch zugunsten von dessen beiden Kindern - den heutigen Klägern - begründet worden sei. BGE 123 III 461 S. 464 a) Gemäss Art. 738 Abs. 1 ZGB ist der Grundbucheintrag für den Inhalt der Dienstbarkeit massgebend, soweit sich Rechte und Pflichten daraus deutlich ergeben. Art. 738 Abs. 2 ZGB bestimmt sodann, dass sich im Rahmen des Eintrages der Inhalt der Dienstbarkeit aus ihrem Erwerbsgrund oder aus der Art ergeben kann, wie sie während längerer Zeit unangefochten und in gutem Glauben ausgeübt worden ist. Der Appellationshof hat es unterlassen zu prüfen, ob sich der Inhalt der Dienstbarkeit nicht bereits aus dem Wortlaut des Grundbucheintrages deutlich ergebe; vielmehr kam er mittels Auslegung von Ziff. 9 des öffentlich beurkundeten Kauf- und Pfandrechtsvertrags vom 30. September 1950 zum Schluss, dass den Klägern ein Wohnrecht zustehe. b) Die vom Appellationshof vorgenommene Auslegung der Dienstbarkeit nach dem Erwerbsgrund erweist sich als unzulässig, weil sich der Inhalt der Dienstbarkeit aus dem Grundbucheintrag deutlich ergibt ( Art. 738 Abs. 1 ZGB ) und der Eintrag infolgedessen ausschliesslich massgebend ist. Einerseits ist der Kreis der benutzungsberechtigten Personen eindeutig umschrieben. Dem Grundbucheintrag ist klar zu entnehmen, das ein Wohnrecht Walter R., Gertrud R. sowie deren Kinder Peter R. und Susanne S.-R. eingeräumt wurde. Bei den Klägern handelt es sich demnach nicht einfach um vom Aufnahmerecht eines Wohnberechtigten profitierende Familienmitglieder ( Art. 777 Abs. 2 ZGB ), denen aber kein Wohnrecht zusteht; vielmehr haben sie aufgrund des Eintrages selber als Wohnberechtigte zu gelten, denen je ein selbständiges dingliches Recht zusteht. Andrerseits ist der Grundbucheintrag nicht nur bezüglich des Kreises der berechtigten Personen, sondern auch hinsichtlich der Dauer der Wohnrechte eindeutig. Die zeitliche Beschränkung eines Wohnrechtes wäre zwar ohne weiteres möglich, doch ergibt sich dafür aus dem Grundbucheintrag nicht der mindeste Hinweis; vielmehr wird den vier berechtigten Personen unterschiedslos ein Wohnrecht ohne zeitliche Befristung eingeräumt. Damit gelangt aber die gesetzliche Regelung zur Anwendung, dass das Wohnrecht - ohne gegenteilige Anordnung - mit dem Tod des Berechtigten endigt ( Art. 776 Abs. 2 ZGB und Art. 776 Abs. 3 in Verbindung mit Art. 749 Abs. 1 ZGB ). Ist aber der Grundbucheintrag sowohl hinsichtlich des Kreises der begünstigten Personen als auch hinsichtlich der Dauer der ihnen eingeräumten Wohnrechte klar, bleibt kein Raum, um für die Ermittlung des Inhaltes der Dienstbarkeit auf ihren Erwerbsgrund zurückzugreifen. BGE 123 III 461 S. 465 c) Nun kann aber auch ein deutlicher Eintrag unrichtig sein. Dies macht die Beklagte sinngemäss geltend, wenn sie behauptet, aus dem Erwerbsgrund ergebe sich, dass nur dem Vater der beiden Kläger, Walter R., ein eigenständiges bzw. auf Lebenszeit errichtetes Wohnrecht eingeräumt worden sei. Während im Verhältnis zwischen den Parteien, die einander zur Zeit der Begründung der Dienstbarkeit gegenübergestanden haben, nicht der Eintrag, sondern der Erwerbsgrund, d.h. der vertragliche Begründungsakt die Wirkung inhaltlicher Gestaltung hat (PETER LIVER, Zürcher Kommentar, N. 23 zu Art. 738 ZGB ), ist in Fällen wie dem vorliegenden, wo sich nicht mehr die ursprünglichen Vertragsparteien gegenüberstehen, die Auslegung des Erwerbsgrundes an die Schranke des Eintrags gebunden (LIVER, a.a.O., N. 91 zu Art. 738 ZGB ): Ergeben sich aus diesem Rechte und Pflichten deutlich, ist er allein massgebend. Der Dritterwerber kann sich dagegen wehren, dass einer im Grundbuch klar umschriebenen Dienstbarkeit mittels Auslegung des Erwerbsgrundes ein anderer Inhalt beigemessen wird; umgekehrt ist ihm aber auch verwehrt, sich auf den Erwerbsgrund zu berufen, um daraus einen für ihn vorteilhaften Inhalt einer Dienstbarkeit abzuleiten, der dem Grundbucheintrag widerspricht. In einem solchen Fall wäre vielmehr gestützt auf Art. 975 ZGB mittels Grundbuchberichtigungsklage die Löschung oder Abänderung des Eintrages zu verlangen, falls der Grundbucheintrag unter Berücksichtigung des Erwerbsgrundes als ungerechtfertigt erscheint (LIVER, a.a.O., N. 26 zu Art. 738 ZGB ). Eine Grundbuchberichtigungsklage zur Löschung des nach Auffassung der Beklagten zu Unrecht eingetragenen Wohnrechtes der Kläger wurde im vorliegenden Fall indessen nicht erhoben.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