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328</w:t>
      </w:r>
    </w:p>
    <w:p>
      <w:r>
        <w:t>Bundesgericht (BGE), 1997-01-01, DE</w:t>
      </w:r>
    </w:p>
    <w:p>
      <w:r>
        <w:rPr>
          <w:b/>
        </w:rPr>
        <w:t xml:space="preserve">Quelle: </w:t>
      </w:r>
      <w:r>
        <w:t>https://mcp.opencaselaw.ch/entscheid/bge_BGE_123_III_328</w:t>
      </w:r>
    </w:p>
    <w:p>
      <w:r>
        <w:t>FR: ATF 123 III 328</w:t>
      </w:r>
    </w:p>
    <w:p>
      <w:r>
        <w:t>IT: DTF 123 III 328</w:t>
      </w:r>
    </w:p>
    <w:p>
      <w:pPr>
        <w:pStyle w:val="Heading2"/>
      </w:pPr>
      <w:r>
        <w:t>Regeste</w:t>
      </w:r>
    </w:p>
    <w:p>
      <w:r>
        <w:t>Regeste Art. 20a Abs. 2 Ziff. 2 SchKG. Untersuchungsgrundsatz, Mitwirkungspflicht.</w:t>
      </w:r>
    </w:p>
    <w:p>
      <w:r>
        <w:t>Regeste Art. 20a al. 2 ch. 2 LP. Principe de la maxime inquisitoire, devoir de collaboration.</w:t>
      </w:r>
    </w:p>
    <w:p>
      <w:r>
        <w:t>Regesto Art. 20a cpv. 2 n. 2 LEF. Principio inquisitorio, obbligo di collaborare.</w:t>
      </w:r>
    </w:p>
    <w:p>
      <w:pPr>
        <w:pStyle w:val="Heading2"/>
      </w:pPr>
      <w:r>
        <w:t>Erwägungen</w:t>
      </w:r>
    </w:p>
    <w:p>
      <w:r>
        <w:rPr>
          <w:b/>
        </w:rPr>
        <w:t>E. 2</w:t>
      </w:r>
    </w:p>
    <w:p>
      <w:r>
        <w:t>Die Beschwerdeführerin, die im kantonalen Verfahren eine Reihe von Gründen angeführt hat, um den Zuschlag des Grundstücks anzufechten ( Art. 132a SchKG , in der Fassung vom 16. Dezember 1994, in Kraft seit 1. Januar 1997), beschränkt sich vor der Schuldbetreibungs- und Konkurskammer des Bundesgerichts auf die Rüge, Art. 20a Abs. 2 Ziff. 2 SchKG (in der Fassung vom 16. Dezember 1994, in Kraft seit 1. Januar 1997) sei verletzt worden. Nach ihrer Auffassung ist im kantonalen Verfahren dem in der zuletzt genannten Bestimmung verankerten Untersuchungsgrundsatz nicht nachgelebt worden, weil von ihr angerufene Zeugen nicht einvernommen BGE 123 III 328 S. 329 worden seien, um über die Beschimpfungen auszusagen, mit denen sie vom künftigen Ersteigerer beim Versuch, das Grundstück vor der Steigerung zu besichtigen, bedacht worden seien.</w:t>
      </w:r>
    </w:p>
    <w:p>
      <w:r>
        <w:rPr>
          <w:b/>
        </w:rPr>
        <w:t>E. 3</w:t>
      </w:r>
    </w:p>
    <w:p>
      <w:r>
        <w:t>Gemäss Art. 20a Abs. 2 Ziff. 2 SchKG stellt die Aufsichtsbehörde den Sachverhalt von Amtes wegen fest. Sie kann die Parteien zur Mitwirkung anhalten und braucht auf deren Begehren nicht einzutreten, wenn sie die notwendige und zumutbare Mitwirkung verweigern. Die Bestimmung hält den Untersuchungsgrundsatz fest und entspricht im übrigen inhaltlich den Art. 12 und 13 VwVG (BBl 1991 III, S. 36). Das kann aber nicht bedeuten, dass die Aufsichtsbehörden über Schuldbetreibung und Konkurs in jedem Fall so umfangreiche Nachforschungen anstellen, wie es im Verwaltungsverfahren von der Sache her erforderlich sein mag (vgl. BGE 119 V 208 E. 5b, c: Anspruch des Versicherten auf Teilnahme am Gespräch mit dem Sachverständigen; BGE 111 Ib 323 E. 4: Einholung eines zweiten Berichtes durch die Zollbehörden zwecks Prüfung des Ursprungs von Waren; BGE 110 V 109 E. 3-5, 199 E. 2-4: Streichung von Arzneimitteln aus der Spezialitätenliste; BGE 99 Ib 104 E. 4: Anerkennung einer Treuhandgesellschaft als bankengesetzliche Revisionsstelle). Wo zur Feststellung des Sachverhalts eine Beweiserhebung unumgänglich ist, sollen zwar auch die Aufsichtsbehörden über Schuldbetreibung und Konkurs zu den prozessüblichen Beweismitteln - insbesondere Urkunden, Zeugen und Sachverständige - greifen; aber ihre Erhebungen sollen sich in vernünftigem Rahmen bewegen und nicht ausser acht lassen, dass sich das Zwangsverwertungsverfahren (in welchem materiellrechtliche Fragen nicht mehr zur Diskussion stehen) speditiv abzuwickeln hat. Die am Zwangsverwertungsverfahren Beteiligten trifft anderseits eine Mitwirkungspflicht dahingehend, dass sie die Aufsichtsbehörden bei der Ermittlung des Sachverhalts nach bestem Wissen und Gewissen zu unterstützen haben. Es kann von ihnen - nicht anders als im Verwaltungsverfahren - erwartet werden, dass sie sich entsprechend den Umständen äussern; tun sie dies nicht, so haben die Aufsichtsbehörden nicht nach Tatsachen zu forschen, die nicht aktenkundig sind (Häfelin/Müller, Grundriss des Allgemeinen Verwaltungsrechts, 2. Auflage Zürich 1993, Rz. 1332).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