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289</w:t>
      </w:r>
    </w:p>
    <w:p>
      <w:r>
        <w:t>Bundesgericht (BGE), 1997-01-01, DE</w:t>
      </w:r>
    </w:p>
    <w:p>
      <w:r>
        <w:rPr>
          <w:b/>
        </w:rPr>
        <w:t xml:space="preserve">Quelle: </w:t>
      </w:r>
      <w:r>
        <w:t>https://mcp.opencaselaw.ch/entscheid/bge_BGE_123_III_289</w:t>
      </w:r>
    </w:p>
    <w:p>
      <w:r>
        <w:t>FR: ATF 123 III 289</w:t>
      </w:r>
    </w:p>
    <w:p>
      <w:r>
        <w:t>IT: DTF 123 III 289</w:t>
      </w:r>
    </w:p>
    <w:p>
      <w:pPr>
        <w:pStyle w:val="Heading2"/>
      </w:pPr>
      <w:r>
        <w:t>Regeste</w:t>
      </w:r>
    </w:p>
    <w:p>
      <w:r>
        <w:t>Regeste Ehescheidung; güterrechtliche Auseinandersetzung. Nichtberücksichtigung von Vorsorgekapital (Art. 197 Abs. 1 und 2 ZGB, 204 Abs. 2 ZGB, 207 Abs. 2 ZGB, 214 Abs. 1 und 2 ZGB; Art. 5 FZG). Nach Anhängigmachung der Scheidungsklage ausbezahltes Vorsorgekapital von Personalfürsorgeeinrichtungen kann zufolge aufgelöstem Güterstand nicht mehr zu Errungenschaft werden und ist daher güterrechtlich irrelevant (E. 3a und 3b/cc).</w:t>
      </w:r>
    </w:p>
    <w:p>
      <w:r>
        <w:t>Regeste Divorce; liquidation du régime matrimonial. Absence de prise en considération du capital de prévoyance (art. 197 al. 1 et 2 CC, 204 al. 2 CC, 207 al. 2 CC, 214 al. 1 et 2 CC; art. 5 LFLP). Le capital versé par une institution de prévoyance en faveur du personnel après le dépôt de la demande en divorce ne peut plus être, par suite de la dissolution du régime matrimonial, compté dans les acquêts; par conséquent, il ne relève pas dudit régime (consid. 3a et 3b/cc).</w:t>
      </w:r>
    </w:p>
    <w:p>
      <w:r>
        <w:t>Regesto Divorzio; liquidazione del regime dei beni fra i coniugi. Non considerazione del capitale di previdenza (art. 197 cpv. 1 e 2 CC, 204 cpv. 2 CC, 207 cpv. 2 CC, 214 cpv. 1 e 2 CC; art. 5 LFLP). Il capitale di previdenza versato da un'istituzione di previdenza a favore del personale dopo la presentazione dell'azione di divorzio non può, in seguito allo scioglimento del regime dei beni, divenire un acquisto ed è di conseguenza irrilevante dal profilo della liquidazione del regime dei beni (consid. 3a e 3b/cc).</w:t>
      </w:r>
    </w:p>
    <w:p>
      <w:pPr>
        <w:pStyle w:val="Heading2"/>
      </w:pPr>
      <w:r>
        <w:t>Erwägungen</w:t>
      </w:r>
    </w:p>
    <w:p>
      <w:r>
        <w:rPr>
          <w:b/>
        </w:rPr>
        <w:t>E. 3</w:t>
      </w:r>
    </w:p>
    <w:p>
      <w:r>
        <w:t>a) Die Vorinstanz hat die Vorsorgekapitalien des Beklagten deswegen von dessen Errungenschaft ausgenommen, weil der Güterstand der Parteien (Errungenschaftsbeteiligung) mit der Rechtshängigkeit der Scheidungsklage am 25. April 1991 aufgelöst worden sei ( Art. 204 Abs. 2 ZGB ; vgl. dazu auch BGE 121 III 152 E. 3a). Leistungen von Personalfürsorgeeinrichtungen gehörten nur dann zur Errungenschaft, wenn sie effektiv während der Dauer des Güterstandes erbracht würden ( Art. 197, 207 Abs. 1 ZGB ). Nach der Auflösung des Güterstandes könne keine Errungenschaft mehr entstehen bzw. anwachsen (HAUSHEER/REUSSER/GEISER, Berner Kommentar, N. 13 zu Art. 207 ZGB ; vgl. auch BGE 118 II 27 E. 2). Vorliegend sei klar und unbestritten, dass das Pensionskapital dem Beklagten im Dezember 1994 ausbezahlt worden sei, als er seine Erwerbstätigkeit in der Schweiz aufgegeben habe und in seine Heimat zurückgekehrt sei; es könne damit nicht mehr zur Errungenschaft gezählt werden. b) Diese Erwägungen sind nicht zu beanstanden. Was die Klägerin hiegegen vorbringt, vermag nicht zu überzeugen: aa) Dass der Beklagte freiwillig, durch eine erlaubte, aber «willkürliche» Handlung die Auszahlung der Vorsorgekapitalien erreichen konnte, lag an der damaligen gesetzlichen Regelung (alt Art. 30 Abs. 2 lit. a BVG (Bundesgesetz über die berufliche Alters-, Hinterlassenen- und Invalidenvorsorge, SR 831.40) und gegebenenfalls auch alt Art. 331c Abs. 4 lit. b Ziff. 1 OR; vgl. dazu BGE 119 III 18 E. 2), die übrigens durch das kurz darauf, am 1. Januar 1995, in Kraft getretene Freizügigkeitsgesetz (SR 831.42) materiell als solche nicht geändert wurde (vgl. Art. 5 Abs. 1 lit. a FZG ), auch wenn BGE 123 III 289 S. 291 die Barauszahlung nunmehr grundsätzlich von der Zustimmung des anderen Ehegatten abhängig ist ( Art. 5 Abs. 2 und 3 FZG ). Die vom Beklagten erwirkte Barauszahlung kann denn auch nicht stossend sein. Dieser musste sich immerhin entschliessen, seinen Arbeitsplatz und den Wohnsitz in der Schweiz aufzugeben, d.h. er nahm ganz wesentliche persönliche Veränderungen in Kauf. bb) Dass eine derartige Barauszahlung, falls sie unmittelbar vor Eintritt der Rechtshängigkeit der Scheidungsklage erfolgt wäre, zur Vergrösserung der Errungenschaft des Beklagten geführt hätte, ändert am Gesagten nichts. Insbesondere kann aus diesen unterschiedlichen Rechtswirkungen auch kein rechtsmissbräuchliches Verhalten des Beklagten ( Art. 2 Abs. 2 ZGB ) abgeleitet werden. cc) Dafür, dass die nach Eintritt der Rechtshängigkeit der Scheidungsklage ausbezahlten Vorsorgekapitalien nachträglich und rückwirkend als effektive Sparkapitalien im Sinne von Art. 197 ZGB behandelt werden könnten, fehlt es an einer gesetzlichen Grundlage. Die von der Klägerin erwähnten Art. 207 Abs. 2 ZGB sowie Art. 214 Abs. 1 und 2 ZGB vermögen nichts daran zu ändern, dass aufgrund von Art. 204 Abs. 2/207 Abs. 1 ZGB i.V.m. Art. 197 Abs. 1 und 2 Ziff. 2 ZGB nach Anhängigmachung der Scheidungsklage erworbene Leistungen von Personalfürsorgeeinrichtungen zufolge aufgelöstem Güterstand nicht mehr zu Errungenschaft werden, wohingegen zur Zeit der Einreichung der Scheidungsklage die diesbezüglichen Guthaben bzw. Anwartschaften noch keine «Leistungen» von Personalfürsorgeeinrichtungen darstellten und daher güterrechtlich irrelevant sind (vgl. hiezu RIEMER, Berufliche Vorsorge und eheliches Vermögensrecht, in: SZS 1997 S. 108 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