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213</w:t>
      </w:r>
    </w:p>
    <w:p>
      <w:r>
        <w:t>Bundesgericht (BGE), 1997-01-01, DE</w:t>
      </w:r>
    </w:p>
    <w:p>
      <w:r>
        <w:rPr>
          <w:b/>
        </w:rPr>
        <w:t xml:space="preserve">Quelle: </w:t>
      </w:r>
      <w:r>
        <w:t>https://mcp.opencaselaw.ch/entscheid/bge_BGE_123_III_213</w:t>
      </w:r>
    </w:p>
    <w:p>
      <w:r>
        <w:t>FR: ATF 123 III 213</w:t>
      </w:r>
    </w:p>
    <w:p>
      <w:r>
        <w:t>IT: DTF 123 III 213</w:t>
      </w:r>
    </w:p>
    <w:p>
      <w:pPr>
        <w:pStyle w:val="Heading2"/>
      </w:pPr>
      <w:r>
        <w:t>Regeste</w:t>
      </w:r>
    </w:p>
    <w:p>
      <w:r>
        <w:t>Regeste Verjährung von Forderungen; Erhebung der Verjährungseinrede im Rechtsmittelverfahren (Art. 134 ff. OR; Art 55 Abs. 1 lit. c OG). Nach Bundesrecht läuft bei verjährbaren Forderungen die Verjährung auch bei hängigen Gerichtsverfahren, ausser einer der in Art. 134 OR umschriebenen Sachverhalte sei gegeben (E. 3). Zulässigkeit der Verjährungseinrede während des bundesrechtlichen Berufungsverfahrens (E. 4 und 5)? Verjährungsunterbrechenden Handlungen (E. 6).</w:t>
      </w:r>
    </w:p>
    <w:p>
      <w:r>
        <w:t>Regeste Prescription des créances; exception de prescription soulevée dans la procédure de recours (art. 134 ss CO; art. 55 al. 1 let. c OJ). Selon le droit fédéral, la prescription court aussi, pour les créances prescriptibles, durant les procédures judiciaires pendantes, à moins que l'un des états de fait décrits à l'art. 134 CO ne soit réalisé (consid. 3). Admissibilité de l'exception de prescription soulevée durant la procédure fédérale de recours en réforme (consid. 4 et 5)? Actes interruptifs de la prescription (consid. 6).</w:t>
      </w:r>
    </w:p>
    <w:p>
      <w:r>
        <w:t>Regesto Prescrizione di crediti; eccezione di prescrizione sollevata nella procedura di ricorso (art. 134 segg. CO; art. 55 cpv. 1 lett. c OG). Secondo il diritto federale la prescrizione decorre, per i crediti prescrittibili, anche in pendenza di un procedimento giudiziario, a meno che non sia data una delle fattispecie menzionate all'art. 134 CO (consid. 3). Ammissibilità dell'eccezione di prescrizione sollevata durante la procedura federale del ricorso per riforma (consid. 4 e 5)? Atti interruttivi della prescrizione (consid. 6).</w:t>
      </w:r>
    </w:p>
    <w:p>
      <w:pPr>
        <w:pStyle w:val="Heading2"/>
      </w:pPr>
      <w:r>
        <w:t>Erwägungen</w:t>
      </w:r>
    </w:p>
    <w:p>
      <w:r>
        <w:rPr>
          <w:b/>
        </w:rPr>
        <w:t>E. 1</w:t>
      </w:r>
    </w:p>
    <w:p>
      <w:r>
        <w:t>Die Entscheidung über die Berufung wird in der Regel bis zur Erledigung einer staatsrechtlichen Beschwerde ausgesetzt ( Art. 57 Abs. 5 OG ). Von dieser Regel ist vorliegend abzuweichen, da erstmals im Berufungsverfahren die Einrede der Verjährung erhoben werden konnte. Die Einrede bewirkt, - falls sie zulässig und begründet ist - dass die streitige Forderung ihre Eignung einbüsst, einem klagegutheissenden Sachentscheid zugrunde zu liegen (BERTI, in: Kommentar zum schweizerischen Privatrecht, Obligationenrecht I, 2. Aufl., 1996, N. 1 zu Art. 142 OR ). Da der Ausgang des staatsrechtlichen Beschwerdeverfahrens daran nichts zu ändern vermag, ist die Berufung vorweg zu behandeln.</w:t>
      </w:r>
    </w:p>
    <w:p>
      <w:r>
        <w:rPr>
          <w:b/>
        </w:rPr>
        <w:t>E. 2</w:t>
      </w:r>
    </w:p>
    <w:p>
      <w:r>
        <w:t>a) Mit ihren Eingaben vom 16., 17. und 18. Oktober 1996 machen die Beklagten geltend, allfällige Schadenersatzforderungen der Kläger seien verjährt. Seit dem 11. September 1995, als den Klägern die Vernehmlassungen im staatsrechtlichen Beschwerdeverfahren übermittelt wurden, seien keine weiteren Prozesshandlungen erfolgt. Die Verjährung sei während des Verfahrens vor Bundesgericht eingetreten. b) Die Kläger beantragen in ihrer Stellungnahme vom 22. November 1996, die Schreiben der Beklagten vom 16., 17. und 18. Oktober 1996 als unzulässige Eingaben aus dem Recht zu weisen. Ferner sei festzustellen, dass die eingeklagten Forderungen nicht verjährt seien. In vor dem Bundesgericht hängigen Verfahren könne die Verjährung nicht eintreten. Es liege ein Anwendungsfall von Art. 134 Abs. 1 BGE 123 III 213 S. 216 Ziff. 6 OR vor. Vorsorglich wird darauf hingewiesen, dass "gerichtsinterne Schritte" für die Verjährungsunterbrechung genügten.</w:t>
      </w:r>
    </w:p>
    <w:p>
      <w:r>
        <w:rPr>
          <w:b/>
        </w:rPr>
        <w:t>E. 3</w:t>
      </w:r>
    </w:p>
    <w:p>
      <w:r>
        <w:t>Nach Bundesrecht läuft bei verjährbaren Forderungen auch unter der Hand des Richters die Verjährung, sofern sie nicht nach Art. 134 OR ruht. Dies ergibt sich ebenfalls aus Art. 138 Abs. 1 OR , entspricht konstanter Rechtsprechung (BGE 21 S. 246 ff.; BGE 111 II 429 ff.) und ist auch in der Literatur unbestritten. Indes ruht die Verjährung während eines befristet sistierten Prozessverfahrens analog Art. 134 Abs. 1 Ziff. 6 OR , da es Sinn und Zweck der gesetzlichen Ordnung widerspräche, dem Gläubiger die Obliegenheit anzulasten, durch ein von vornherein unnützes Begehren um Beschleunigung oder Beendigung des Verfahrens eine bloss materiellrechtlich gebotene, prozessual aber unwirksame Unterbrechungshandlung vorzunehmen ( BGE 75 II 227 E. 3c/aa S. 235 f.; SPIRO, Die Begrenzung privater Rechte durch Verjährungs-, Verwirkungs- und Fatalfristen, Bd. I, S. 157 f., insbesondere Fn. 33). Anderes gilt hingegen, wenn die Parteien im Hinblick auf Vergleichsverhandlungen die Sistierung des Prozesses für unbestimmte Zeit verlangen (STAUFFER, Note sur l'art. 138 al. 1 CO, in SJ 87/1965 S. 369 ff.; ENGEL, Traité des obligations en droit suisse, 2. Aufl., 1997, S. 819 f.). In dieser Zeit wie auch zwischen dem Abschluss der Parteiverhandlungen und der Urteilsfällung ruht die Verjährung nicht (SJ 95/1973 S. 145 E. 2c); es steht dem Gläubiger frei, den Abschluss des Verfahrens zu verlangen. Für das Verfahren vor Bundesgericht kann materiellrechtlich nichts anderes gelten. Das Bundesprivatrecht enthält eine einheitliche Verjährungsordnung für die Dauer eines Prozessverfahrens und kennt für dasjenige vor Bundesgericht keine Ausnahmeregelung. Daher ist davon auszugehen, dass bei Forderungen auch während des Berufungsverfahrens die Verjährung nach Massgabe der genannten Grundsätze läuft, sie mithin nicht von Gesetzes wegen ruht. Der Abschluss des Schriftenwechsels - und damit der Parteiverhandlungen - unterbricht zwar die Verjährung, bewirkt aber nicht deren Stillstand bis zum Datum des Urteilsspruchs (vgl. SJ 95/1973 S. 145 E. 2c).</w:t>
      </w:r>
    </w:p>
    <w:p>
      <w:r>
        <w:rPr>
          <w:b/>
        </w:rPr>
        <w:t>E. 4</w:t>
      </w:r>
    </w:p>
    <w:p>
      <w:r>
        <w:t>Im bundesrechtlichen Berufungsverfahren ergeben sich aus der Natur des Rechtsmittels Bedenken gegen die Zulässigkeit der Verjährungseinrede. Die eidgenössische Berufung ist ein devolutives, aber unvollkommenes ordentliches Rechtsmittel; einerseits hemmt sie die Rechtskraft des angefochtenen Entscheids ( Art. 54 Abs. 2 OG ), anderseits ist die Kognition auf Rechtsfragen beschränkt ( Art. 43 OG ). Der angefochtene Entscheid wird - von hier nicht BGE 123 III 213 S. 217 interessierenden Ausnahmen abgesehen - nur nach Massgabe der im kantonalen Verfahren festgestellten Tatsachen auf die richtige Anwendung des Bundesrechts hin überprüft. Diese beschränkte Prüfungsbefugnis hat zur Folge, dass vor Bundesgericht neue Tatsachen und Einreden nicht mehr vorgebracht werden können ( Art. 55 Abs. 1 lit. c OG ). Unter dieses Einredeverbot fallen all jene Einwendungen, die sich gegen die Voraussetzungen richten, von denen das vom Bundesgericht von Amtes wegen anzuwendende Recht abhängig ist, so auch die Verjährungseinrede (POUDRET, Commentaire de la loi fédérale d'organisation judiciaire, N. 1.5.3.5 zu Art. 55; BIRCHMEIER, Handbuch des Bundesgesetzes über die Organisation der Bundesrechtspflege, S. 206; MESSMER/IMBODEN, Die eidgenössischen Rechtsmittel in Zivilsachen, S. 155 Fn. 34). Tritt die Verjährung im Verlauf des bundesgerichtlichen Verfahrens ein, kollidiert die materiellrechtliche mit der prozessualen Ordnung, indem einerseits die Verjährung eintreten kann, anderseits aber - nach dem Gesetzeswortlaut - nicht mehr durch Einrede geltend gemacht werden kann. Dieser vordergründige Widerspruch ist nach den allgemeinen Grundsätzen zur Behebung von Rechtskollisionen zu lösen.</w:t>
      </w:r>
    </w:p>
    <w:p>
      <w:r>
        <w:rPr>
          <w:b/>
        </w:rPr>
        <w:t>E. 5</w:t>
      </w:r>
    </w:p>
    <w:p>
      <w:r>
        <w:t>a) Verschiedene kantonale Prozessordnungen enthalten mit Art. 55 Abs. 1 lit. c OG vergleichbare Novenvorschriften, indem sie nach der Eventualmaxime ab einem bestimmten Zeitpunkt und namentlich im Rechtsmittelverfahren neue Tatsachenbehauptungen nicht mehr zulassen (vgl. VOGEL, Grundriss des Zivilprozessrechts, 4. Aufl., 1995, S. 349 f.; GULDENER, Schweizerisches Zivilprozessrecht, 3. Aufl., 1979, S. 509). Das Bundesgericht hat am 26. März 1985 in einem nicht veröffentlichten Urteil erwogen, eine solche Ordnung widerspreche der derogatorischen Kraft des Bundesrechts jedenfalls dann, wenn sie die Einrede der im Prozessverlauf eingetretenen Verjährung am Novenverbot scheitern lasse (vgl. auch RATHGEB, L'action en justice et l'interruption de la prescription, in Recueil de travaux publiés à l'occasion du Cinquantenaire de l'École des hautes études commerciales, 1961, S. 161 ff., 175). b) Die bundesrechtlichen Bestimmungen über das Berufungsverfahren ( Art. 43 ff. OG ) können nicht auf Verfassungsmässigkeit überprüft werden ( Art. 113 Abs. 3 BV ). Das bedeutet indes nicht, dass eine im Widerspruch zum materiellen Recht stehende prozessuale Ordnung unbesehen Regel macht. Vielmehr ist nach allgemeinen Auslegungs- und Rechtsanwendungsgrundsätzen zu prüfen, welche der beiden Ordnungen Vorrang hat. BGE 123 III 213 S. 218 Aus der dienenden Natur des Verfahrensrechts folgt der Grundsatz, dass es die Durchsetzung des materiellen Rechts bei sorgfältiger Prozessführung nicht vereiteln darf ( BGE 116 II 215 E. 3). Diese Auslegungsmaxime ist auch bei der Anwendung bundesrechtlicher Verfahrensvorschriften zu beachten. Allenfalls ist zu prüfen, ob eine dem Sinn nach prohibitive Vorschrift durch sogenannte teleologische Reduktion einschränkend zu verstehen ist ( BGE 121 III 219 E. 1d/aa; zur teleologischen Reduktion namentlich Ernst A. Kramer, Teleologische Reduktion - Plädoyer für einen Akt methodentheoretischer Rezeption, in Rechtsanwendung in Theorie und Praxis, Symposium zum 70. Geburtstag von ARTHUR MEIER-HAYOZ [ZSR-Beiheft 15], S. 65 ff., 73 ff.; zurückhaltend MAYER-MALY, in: Kommentar zum schweizerischen Privatrecht, Schweizerisches Zivilgesetzbuch I, N. 32 zu Art. 1). Dies ist dort möglich, wo die reduzierende Auslegung eine rechtspolitische Gesetzeslücke nicht korrigiert, sondern deren Bestand verneint. Nichts lässt darauf schliessen, dass der Bundesgesetzgeber mit Art. 55 OG die Verjährung bundesrechtlicher Forderungen während eines Berufungsverfahrens habe ausschliessen wollen. Die Verjährungseinrede ist vor Bundesgericht zuzulassen, wenn die Verjährung erst im Berufungsverfahren eintritt und der Schuldner keine andere Möglichkeit hat, der begründeten Einrede zur Rechtswirksamkeit zu verhelfen. Letztgenannte Voraussetzung ist nachfolgend zu prüfen: aa) Mit der kantonalrechtlichen oder bundesrechtlichen Revision kann die Verjährung nachträglich nicht geltend gemacht werden, weil das Rechtsmittel so oder anders nur für neu entdeckte Tatsachen offensteht, die bereits im Zeitpunkt des kantonalen Entscheids bestanden (POUDRET, a.a.O., N. 2.2.3 zu Art. 137 OG ) oder erst im Verfahren vor Bundesgericht entstanden sind, aber als zulässiges Novum hätten geltend gemacht werden können (POUDRET, a.a.O., N. 2.2.4 zu Art. 137 OG ). bb) Dagegen kann eine nach Abschluss des kantonalen Verfahrens eingetretene Tatsache Anlass zu einem neuen Prozess geben, wobei diesfalls die Einrede der res iudicata der neuen Klage nicht entgegensteht ( BGE 105 II 268 E. 2b; 77 II 283 ff.; POUDRET, a.a.O. N. 2.2.3 zu Art. 137 OG ; VOGEL, a.a.O., S. 352 und 373). Hierbei handelt es sich in der Regel um Tatsachen, die den beurteilten Anspruch untergehen lassen oder einen neuen materiellen Anspruch begründen ( BGE 105 II 268 E. 2b). Die Einrede der Verjährung lässt einen Anspruch indes nicht untergehen, sondern belastet ihn bloss (BERTI, a.a.O., N. 1 zu Art. 142 OR ). BGE 123 III 213 S. 219 cc) Im Gegensatz zur Einrede der Tilgung kann die Verjährungseinrede im Rahmen des Vollstreckungsverfahrens nicht erhoben werden. Nach der klaren Regelung von Art. 137 Abs. 2 OR beginnt von der urteilsmässigen Feststellung einer Forderung an eine neue Verjährungsfrist von zehn Jahren zu laufen. Die vor dem Urteilsspruch eingetretene Verjährung könnte im Vollstreckungsverfahren nicht geltend gemacht werden, auch nicht einredeweise im Rechtsöffnungsverfahren. c) Nach dem Gesagten muss entgegen dem Wortlaut von Art. 55 Abs. 1 lit. c OG die Verjährungseinrede zulässig sein, sofern die Verjährung des Anspruchs erst im Verfahren vor Bundesgericht eingetreten ist. Da die Verjährungseinrede materiellrechtlicher Natur ist, führt sie, sofern begründet, zur Abweisung der Leistungsklage. Die Einrede ist somit von vornherein nur zu hören, wenn auf die Berufung eingetreten werden kann, was vorliegend der Fall ist.</w:t>
      </w:r>
    </w:p>
    <w:p>
      <w:r>
        <w:rPr>
          <w:b/>
        </w:rPr>
        <w:t>E. 6</w:t>
      </w:r>
    </w:p>
    <w:p>
      <w:r>
        <w:t>Zu prüfen bleibt, ob die Einrede der Verjährung nach materiellem Recht begründet ist. a) Für Ansprüche aus unerlaubter Handlung ist Art. 60 Abs. 1 OR massgebend. Danach verjährt der Anspruch auf Schadenersatz oder Genugtuung in einem Jahr, nachdem der Geschädigte Kenntnis vom Schaden und von der Person des Schädigers erlangt hat, jedenfalls mit Ablauf von zehn Jahren, vom Tage der schädigenden Handlung an gerechnet. Diese Bestimmung weicht namentlich in bezug auf die Dauer und auf den Beginn der Frist von der generellen Regelung in Art. 127 ff. OR ab; für andere Fragen, wie beispielsweise für die Unterbrechung der Verjährung, kann die dortige Regelung beigezogen werden (OFTINGER/STARK, Schweizerisches Haftpflichtrecht, Besonderer Teil, Bd. II/1, 4. Aufl., 1987, S. 106; HEINZ REY, Ausservertragliches Haftpflichtrecht, S. 334). Die zehnjährige Frist kann ebenfalls unterbrochen werden ( BGE 112 II 231 E. 3e/aa), da es sich bei dieser - beruhe sie auf Art. 127 OR , auf Art. 60 Abs. 1 OR oder auf Art. 67 Abs. 1 OR - nicht um eine absolute Frist handelt ( BGE 117 IV 233 E. 5d/aa S. 243). Gemäss Art. 135 Ziff. 2 OR wird die Verjährung durch die Einreichung der Klage unterbrochen. Im Verlauf eines Klageverfahrens wird mit jeder gerichtlichen Handlung der Parteien und mit jeder Verfügung oder Entscheidung des Richters die Verjährung unterbrochen ( Art. 138 Abs. 1 OR ). Als gerichtliche Handlungen gelten nur Erklärungen, die zu den Akten oder zu Protokoll gegeben werden; sie müssen förmlicher Art und für beide Parteien stets leicht und einwandfrei feststellbar sein ( BGE 106 II 32 E. 4 S. 35 f. mit BGE 123 III 213 S. 220 Hinweisen). Mit der Unterbrechung beginnt die Verjährung von neuem zu laufen ( Art. 137 Abs. 1 OR ). b) Nachdem die ab dem 23. Juli 1985, dem Datum des Brandfalles laufende zehnjährige Frist erstmals durch die Prozesseinleitung und in der Folge durch weitere Prozesshandlungen unterbrochen worden ist, bleibt zu prüfen, ob auch die einjährige Frist gemäss Art. 60 Abs. 1 OR rechtzeitig unterbrochen wurde. Die Antworten im eidgenössischen Berufungsverfahren sind der Gegenpartei am 29. August 1995 und die Vernehmlassungen zur staatsrechtlichen Beschwerde am 11. September 1995 zur Kenntnisnahme zugestellt worden. Ab diesem Zeitpunkt finden sich in den Akten keine Unterbrechungshandlungen der Kläger im Sinn von Art. 135 Ziff. 2 und Art. 138 Abs. 1 OR . Fragen liesse sich, ob die Zuteilung an einen Richter zum Referat als verjährungsunterbrechende Handlung zu gelten hat. Indes ist mit SPIRO (a.a.O., S. 348 Fn. 28) darin einig zu gehen, dass reine interne Handlungen eines Gerichts, selbst wenn sie Verfügungscharakter haben, nicht die Verjährung unterbrechen, ausser sie würden den Parteien eröffnet. Letzteres ist vorliegend nicht geschehen. Da keine verjährungsunterbrechenden Handlungen dargetan werden und die rein internen gerichtlichen Abläufe zur Unterbrechung der Verjährung nicht genügen, ist im vorliegenden Fall die Verjährung der Schadenersatzansprüche am 11. September 1996 eingetreten. Unter diesen Umständen ist die Berufung abzuweisen und das angefochtene Urteil zu bestätigen.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