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200</w:t>
      </w:r>
    </w:p>
    <w:p>
      <w:r>
        <w:t>Bundesgericht (BGE), 1996-01-01, DE</w:t>
      </w:r>
    </w:p>
    <w:p>
      <w:r>
        <w:rPr>
          <w:b/>
        </w:rPr>
        <w:t xml:space="preserve">Quelle: </w:t>
      </w:r>
      <w:r>
        <w:t>https://mcp.opencaselaw.ch/entscheid/bge_BGE_123_III_200</w:t>
      </w:r>
    </w:p>
    <w:p>
      <w:r>
        <w:t>FR: ATF 123 III 200</w:t>
      </w:r>
    </w:p>
    <w:p>
      <w:r>
        <w:t>IT: DTF 123 III 200</w:t>
      </w:r>
    </w:p>
    <w:p>
      <w:pPr>
        <w:pStyle w:val="Heading2"/>
      </w:pPr>
      <w:r>
        <w:t>Regeste</w:t>
      </w:r>
    </w:p>
    <w:p>
      <w:r>
        <w:t>Regeste Art. 24 Abs. 1 Ziff. 4 OR und Art. 25 Abs. 1 OR; Grundlagenirrtum; Geltendmachung gegen Treu und Glauben. Die Anfechtbarkeit darf nicht im Sinne einer Abwägung der im Zeitpunkt der Berufung auf den Irrtum bestehenden Vertragsinteressen der Parteien davon abhängig gemacht werden, ob die einseitige Unverbindlichkeit des Vertrages als unverhältnismässige Rechtsfolge erscheint. Die Geltendmachung des Irrtums verstösst vielmehr nur dann gegen Treu und Glauben, wenn es sich um unnütze Rechtsausübung handelt oder ein krasses Missverhältnis der Interessen besteht.</w:t>
      </w:r>
    </w:p>
    <w:p>
      <w:r>
        <w:t>Regeste Art. 24 al. 1 ch. 4 CO et art. 25 al. 1 CO; erreur sur les motifs; action contraire aux règles de la bonne foi. Le droit d'invalider le contrat ne saurait dépendre, dans le sens d'une pesée des intérêts contractuels des parties tels qu'ils existaient au moment où l'erreur a été invoquée, du point de savoir si l'invalidité unilatérale du contrat apparaît comme une conséquence juridique excessive. Le fait de se prévaloir de l'erreur ne viole bien plutôt les règles de la bonne foi que s'il consiste dans l'exercice d'un droit dénué de toute utilité ou dans l'hypothèse d'une disproportion grossière des intérêts.</w:t>
      </w:r>
    </w:p>
    <w:p>
      <w:r>
        <w:t>Regesto Art. 24 cpv. 1 n. 4 CO e art. 25 cpv. 1 CO; errore essenziale; invocazione dell'errore in urto con la buona fede. L'impugnabilità di un contratto non può dipendere - nel senso di una ponderazione degli interessi contrattuali delle parti al momento dell'invocazione dell'errore - dalla questione a sapere se l'invalidità unilaterale del contratto sembri una conseguenza giuridica sproporzionata. L'invocazione dell'errore viola semmai il principio della buona fede quando corrisponde all'esercizio di un diritto privo di ogni utilità oppure quando vi è una sproporzione manifesta fra gli interessi.</w:t>
      </w:r>
    </w:p>
    <w:p>
      <w:pPr>
        <w:pStyle w:val="Heading2"/>
      </w:pPr>
      <w:r>
        <w:t>Erwägungen</w:t>
      </w:r>
    </w:p>
    <w:p>
      <w:r>
        <w:rPr>
          <w:b/>
        </w:rPr>
        <w:t>E. 2</w:t>
      </w:r>
    </w:p>
    <w:p>
      <w:r>
        <w:t>Ein Vertrag ist für jene Partei unverbindlich, die sich beim Abschluss in einem wesentlichen Irrtum befunden hat ( Art. 23 OR ). Als wesentlich gilt ein Irrtum namentlich, wenn er einen bestimmten Sachverhalt betrifft, der vom Irrenden nach Treu und Glauben im Geschäftsverkehr als eine notwendige Grundlage des Vertrages betrachtet werden konnte ( Art. 24 Abs. 1 Ziff. 4 OR : Grundlagenirrtum). Als Rechtsfolge des Irrtums sieht das Gesetz die einseitige Unverbindlichkeit vor (vgl. dazu SCHMIDLIN, Berner Kommentar, N. 105 ff. zu Art. 23/24 OR). Art. 25 OR schränkt die Möglichkeit einer Partei, sich auf den Irrtum zu berufen, insofern ein, als sie als unstatthaft bezeichnet wird, wenn sie Treu und Glauben widerspricht (Abs. 1). Der Tatbestand wird sodann in Absatz 2 dahin konkretisiert, dass der Irrende den Vertrag so gelten lassen muss, wie er ihn verstanden hat, wenn sich die Gegenpartei dazu bereit erklärt. BGE 123 III 200 S. 203 Schliesslich lässt Art. 26 OR den Irrenden für den durch den Wegfall des Vertrages entstandenen Schaden haften, wenn er den Irrtum seiner eigenen Fahrlässigkeit zuzuschreiben hat. a) Aus Art. 25 Abs. 1 OR leitet ein Teil der Lehre ab, dass im Zeitpunkt der Berufung auf den Irrtum eine Interessenabwägung stattzufinden habe. Es seien die Vertragsinteressen beider Vertragspartner nach Treu und Glauben abzuwägen (SCHMIDLIN, a.a.O., N. 7 zu Art. 25 OR mit Zitat). Dieser Auffassung kann nicht gefolgt werden. Das Gesetz sieht als Rechtsfolge der Irrtumsanfechtung die Unverbindlichkeit des Vertrages mit allen Unannehmlichkeiten vor, die sich daraus für die Parteien ergeben können. Diese Nachteile werden für die Gegenpartei dadurch gemildert, dass unter Umständen bloss ein Teil des Vertrages unverbindlich ist (vgl. dazu EUGEN BUCHER, Schweizerisches Obligationenrecht, Allgemeiner Teil, 2. Auflage, S. 214) und bei Fahrlässigkeit eine Haftung der anfechtenden Partei besteht. Ein grösserer Ermessensspielraum wird dem Gericht nicht eingeräumt. Es fehlt somit die Rechtsgrundlage für eine Prüfung, ob die einseitige Unverbindlichkeit des Vertrages als unverhältnismässige Rechtsfolge erscheint. b) Daran ändert auch der Umstand nichts, dass Art. 25 Abs. 1 OR in Konkretisierung des allgemeinen Rechtsmissbrauchsverbotes ( Art. 2 Abs. 2 ZGB ) festhält, die Berufung auf den Irrtum dürfe nicht wider Treu und Glauben erfolgen. Dieser Grundsatz kann die Geltendmachung des Irrtums nur dann als Verstoss gegen Treu und Glauben erscheinen lassen, wenn es sich um unnütze Rechtsausübung handelt oder ein krasses Missverhältnis der Interessen besteht (MERZ, Berner Kommentar, N. 340 ff. und N. 371 zu Art. 2 ZGB ). aa) Von einer unnützen Rechtsausübung kann im vorliegenden Fall nicht gesprochen werden. Bei einer Geldleistung ist ohnehin kaum ersichtlich, warum die Geltendmachung nutzlos sein soll (MERZ, a.a.O., N. 342 zu Art. 2 ZGB ). Das gilt auch für den beurteilten Sachverhalt. Mit der Geltendmachung des Willensmangels verteidigt der Kläger genau die Interessen, die mit den Regeln über den Irrtum geschützt werden sollen. Er will verhindern, dass er den Kaufpreis für die landwirtschaftlichen Parzellen bezahlen muss, die er bei Kenntnis der wahren Sachlage nicht gekauft hätte. bb) Unter dem Gesichtspunkt von Art. 2 Abs. 2 ZGB ist grundsätzlich ohne Belang, ob die Rechtsausübung durch die eine Partei die andere empfindlich trifft. Ausnahmen können im Bereich der Verpflichtungen zu einem Handeln bestehen (MERZ, a.a.O., N. 372 ff. zu Art. 2 ZGB ). Der Umstand, dass es den Beklagten hart treffen BGE 123 III 200 S. 204 würde, wenn er den Kaufpreis nicht erhalten sollte, wogegen der Kläger die Bezahlung des Preises möglicherweise besser verkraften kann, vermag aber ein solches krasses Missverhältnis der Interessen nicht zu begründen. c) Dem Obergericht kann deshalb nicht gefolgt werden, wenn es zwar die Voraussetzungen eines Grundlagenirrtums als gegeben ansieht, die Anfechtung aber mit der Begründung zurückweist, die einseitige Unverbindlichkeit sei unter den gegebenen Umständen keine angemessene Rechtsfolge. (In der folgenden Erwägung wird ausgeführt, dass das Obergericht im Ergebnis richtig entschieden hat, weil die Voraussetzungen eines Grundlagenirrtums fehlen).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