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171</w:t>
      </w:r>
    </w:p>
    <w:p>
      <w:r>
        <w:t>Bundesgericht (BGE), 1997-01-01, FR</w:t>
      </w:r>
    </w:p>
    <w:p>
      <w:r>
        <w:rPr>
          <w:b/>
        </w:rPr>
        <w:t xml:space="preserve">Quelle: </w:t>
      </w:r>
      <w:r>
        <w:t>https://mcp.opencaselaw.ch/entscheid/bge_BGE_123_III_171</w:t>
      </w:r>
    </w:p>
    <w:p>
      <w:r>
        <w:t>FR: ATF 123 III 171</w:t>
      </w:r>
    </w:p>
    <w:p>
      <w:r>
        <w:t>IT: DTF 123 III 171</w:t>
      </w:r>
    </w:p>
    <w:p>
      <w:pPr>
        <w:pStyle w:val="Heading2"/>
      </w:pPr>
      <w:r>
        <w:t>Regeste</w:t>
      </w:r>
    </w:p>
    <w:p>
      <w:r>
        <w:t>Regeste Beendigung der kantonalen Mietzinskontrolle über ein Mietshaus; auf die Berechnung der nachfolgenden Mietzinserhöhung anwendbare Methode und Kriterien. Die Beendigung der kantonalen Mietzinskontrolle rechtfertigt - als Ausnahme von der Regel - die Anwendung der absoluten Berechnungsmethode. In diesem Rahmen sind die bei der Berechnung der finanziellen Belastung einzubeziehenden Fremdmittel nur in der Höhe der Anlagekosten zu berücksichtigen, berechnet nach der üblichen Methode, das heisst nach dem in den zulässigen Grenzen aktualisierten Wert der investierten Eigenmittel und erhöht um die ursprünglichen Fremdmittel.</w:t>
      </w:r>
    </w:p>
    <w:p>
      <w:r>
        <w:t>Regeste Sortie d'un immeuble du contrôle cantonal des loyers; méthode applicable et modalités du calcul de la hausse subséquente du loyer. La sortie d'un immeuble du contrôle cantonal des loyers justifie, par exception à la règle générale, l'application de la méthode de calcul absolue. Dans ce cadre-là, il convient de limiter les emprunts à prendre en considération pour le calcul des charges financières au prix de revient de l'immeuble calculé selon la méthode usuelle, c'est-à-dire à la valeur - réactualisée dans les limites admissibles - des fonds propres investis par le bailleur et augmentée du montant des fonds étrangers initiaux.</w:t>
      </w:r>
    </w:p>
    <w:p>
      <w:r>
        <w:t>Regesto Fine del controllo cantonale delle pigioni di un immobile; metodo e criteri applicabili al calcolo del susseguente aumento della pigione. La fine del controllo cantonale delle pigioni di un immobile giustifica - in eccezione alla regola generale - l'applicazione del metodo assoluto di calcolo. In questo ambito, ai fini della determinazione degli oneri finanziari, è opportuno limitare i prestiti di cui tener conto ai costi di investimento dell'immobile, calcolati secondo il metodo usale, ovvero secondo il valore - riattualizzato nei limiti ammissibili - del capitale proprio investito dal locatore aumentato dell'importo del capitale iniziale di terzi.</w:t>
      </w:r>
    </w:p>
    <w:p>
      <w:pPr>
        <w:pStyle w:val="Heading2"/>
      </w:pPr>
      <w:r>
        <w:t>Erwägungen</w:t>
      </w:r>
    </w:p>
    <w:p>
      <w:r>
        <w:rPr>
          <w:b/>
        </w:rPr>
        <w:t>E. 6</w:t>
      </w:r>
    </w:p>
    <w:p>
      <w:r>
        <w:t>a) En principe, pour majorer unilatéralement un loyer, le bailleur ne devrait invoquer que des critères relatifs, et le juge appliquer la méthode relative. Exceptionnellement, la jurisprudence admet que le bailleur se prévale directement d'un facteur absolu et que le juge applique la méthode absolue pour examiner une majoration unilatérale du loyer (LACHAT, La pratique récente en matière de loyers, in: Séminaire sur le droit du bail, Neuchâtel 1996, n. 38 à 43). La sortie d'un immeuble du contrôle cantonal des loyers constitue précisément l'une des exceptions à ce principe ( ATF 117 II 77 ), justifiée, d'une part, par le fait que les dispositions relatives à la contestation des loyers abusifs ne s'appliquent pas aux locaux d'habitation dont le loyer est soumis au contrôle d'une autorité ( art. 253b al. 3 CO ) et, d'autre part, parce que les modalités spécifiques auxquelles obéit la fixation du loyer par l'autorité administrative compétente ne sont pas de nature à éveiller chez le locataire la confiance, propre à la méthode relative, quant au caractère suffisant du dernier loyer payé par lui (arrêt non publié du 25 janvier 1994, dans la cause 4C.153/1993, consid. 2 in fine, reproduit in: mietrechtspraxis [mp] 1994, p. 93 ss, 95 in fine). La méthode absolue sert à vérifier concrètement que le loyer ne procure pas un rendement excessif au bailleur. Dans cette méthode, BGE 123 III 171 S. 174 c'est le loyer lui-même, sans égard aux stipulations contractuelles, ni à son évolution dans le temps, qui est contrôlé sur la base de la situation financière de l'immeuble à un moment donné, tandis que, dans la méthode relative, il s'agit d'examiner uniquement si une modification du loyer est compatible avec la volonté exprimée antérieurement par celui qui la réclame ( ATF 120 II 240 consid. 2 p. 242; ATF 117 II 77 consid. 2 p. 80). L' art. 269 CO implique une analyse du rendement net obtenu par le bailleur. Ce rendement résulte du rapport existant entre les fonds propres investis dans la chose remise à bail et le loyer après déduction des charges d'exploitation et des intérêts débiteurs sur les capitaux empruntés. Pour déterminer le montant des fonds propres investis, il faut partir du coût de revient effectif de l'immeuble, à moins que le prix d'achat de celui-ci ne soit manifestement exagéré, et en soustraire le montant des fonds étrangers (emprunts du propriétaire garantis ou non par hypothèque; ATF 117 II 77 consid. 3a/aa, qui traite de la disposition similaire de l' art. 14 AMSL ). Les fonds propres investis par le bailleur doivent être adaptés au renchérissement, mais leur réévaluation ne saurait dépasser le 40% du prix de revient de l'immeuble pour les motifs indiqués dans l' ATF 120 II 100 . Lorsque les loyers étaient soumis au contrôle d'une autorité étatique, cette réévaluation doit être opérée en fonction du renchérissement enregistré depuis la date d'investissement des fonds propres, et non pas depuis la date de la sortie du contrôle cantonal (ATF ATF 117 II 77 consid. 3b/aa p. 83). Au demeurant, il n'est pas possible de substituer au coût de revient partiellement réévalué d'autres valeurs, plus ou moins abstraites, telles que la valeur vénale de l'immeuble, sa valeur fiscale ou sa valeur d'assurance-incendie ( ATF 122 III 257 consid. 3b). Le montant des fonds propres peut varier avec le temps (LACHAT/MICHELI, Le nouveau droit du bail, 2e éd., p. 206, n. 5.4). Il augmente lorsque le bailleur amortit sa dette hypothécaire ou finance lui-même des travaux à plus-value ( ATF 122 III 257 consid. 3a; 117 II 77 consid. 3a/cc). Inversement, il diminue si le bailleur alourdit la charge hypothécaire de son immeuble (cf. ROHRER, Wie wird die Nettorendite im Sinne von Art. 269 OR berechnet?, in: MietRecht Aktuell [MRA] 1996, p. 43 ss, 48, traduit in: Cahiers du bail [CdB] 1996, p. 65 ss, 69; GUT, Angemessener Ertrag, in: mp 1996, p. 177 ss, 188). Lorsqu'il est nul, parce que la dette hypothécaire est égale ou supérieure au montant de l'investissement initial réévalué, le revenu locatif ne pourra plus servir qu'à couvrir les charges immobilières effectives, faute de fonds propres. ROHRER est d'avis que le BGE 123 III 171 S. 175 montant de ces charges importe peu, car la jurisprudence n'impose pas le montant jusqu'à concurrence duquel le bailleur peut hypothéquer son immeuble et ne prescrit pas davantage à quelles fins les prêts qui lui ont été consentis doivent être utilisés (ibid.). On ne saurait lui emboîter le pas. L'auteur indique lui-même les abus que pourrait générer la solution qu'il préconise et à l'appui de laquelle il ne cite d'ailleurs aucun précédent. De fait, dans l'hypothèse où la valeur vénale de l'immeuble aurait fortement augmenté depuis sa construction ou son achat, le bailleur serait en mesure d'en réaliser la plus-value aux dépens des locataires en utilisant une partie du crédit octroyé par la banque sur la base de cette valeur pour acheter un autre immeuble, tout en faisant assumer par les locataires de l'immeuble grevé le service de la dette hypothécaire (MRA, cit., p. 48; CdB, cit., p. 70 en haut; dans le même ordre d'idées, cf. l'arrêt de la Cour de cassation civile neuchâteloise du 18 janvier 1994 publié in: Recueil de jurisprudence neuchâteloise 1994, p. 55 ss, 56/57 consid. 5 et son résumé in: Droit du bail 1994, n. 13). La solution préconisée par ROHRER, si elle était adoptée, reviendrait du reste à entériner, par un chemin détourné, celle qui consiste à calculer le rendement en fonction de la valeur actuelle effective de l'immeuble du bailleur et qui a été expressément rejetée dans l' ATF 122 III 257 , précité. En réalité, pour rester dans le droit fil de la jurisprudence, il convient de limiter les emprunts à prendre en considération pour le calcul des charges financières au prix de revient de l'immeuble calculé selon la méthode usuelle, c'est-à-dire à la valeur réactualisée des fonds propres investis par le bailleur, augmentée des fonds étrangers initiaux. Demeure réservée l'hypothèse où les emprunts excédant ce plafond ont servi à financer des prestations supplémentaires du bailleur, au sens des art. 269a let. b CO et 14 OBLF (RS 221.213.11). Si l'on s'en tient à la limite ainsi fixée, l'affectation des fonds empruntés importe peu. En effet, du moment que, selon la jurisprudence, le rendement admissible de l'entier des fonds propres réactualisés doit être fixé en fonction d'un taux supérieur d'un demi pour cent au taux déterminant pour les prêts hypothécaires en premier rang ( ATF 122 III 257 consid. 3a; ATF 120 II 100 consid. 6b), le bailleur n'a aucun intérêt à réduire la part de son investissement personnel initial en augmentant sa dette hypothécaire.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