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120</w:t>
      </w:r>
    </w:p>
    <w:p>
      <w:r>
        <w:t>Bundesgericht (BGE), 1996-01-01, FR</w:t>
      </w:r>
    </w:p>
    <w:p>
      <w:r>
        <w:rPr>
          <w:b/>
        </w:rPr>
        <w:t xml:space="preserve">Quelle: </w:t>
      </w:r>
      <w:r>
        <w:t>https://mcp.opencaselaw.ch/entscheid/bge_BGE_123_III_120</w:t>
      </w:r>
    </w:p>
    <w:p>
      <w:r>
        <w:t>FR: ATF 123 III 120</w:t>
      </w:r>
    </w:p>
    <w:p>
      <w:r>
        <w:t>IT: DTF 123 III 120</w:t>
      </w:r>
    </w:p>
    <w:p>
      <w:pPr>
        <w:pStyle w:val="Heading2"/>
      </w:pPr>
      <w:r>
        <w:t>Regeste</w:t>
      </w:r>
    </w:p>
    <w:p>
      <w:r>
        <w:t>Regeste Verjährung der Forderung aus Handwerksarbeit (Art. 128 Ziff. 3 OR). Der Begriff der Handwerksarbeit bleibt jenen Arbeiten vorbehalten, für welche einerseits eine besondere Technologie nicht notwendig ist, und die anderseits keine besonderen organisatorischen Massnahmen erfordern (Präzisierung der Rechtsprechung; E. 2b). Die Verlegung von Fliesen in hundert Nasszellen fällt nicht unter diesen Begriff (E. 2c).</w:t>
      </w:r>
    </w:p>
    <w:p>
      <w:r>
        <w:t>Regeste Prescription de l'action de l'artisan pour son travail (art. 128 ch. 3 CO). La notion de travail artisanal doit être réservée aux travaux qui non seulement ne nécessitent pas l'emploi de technologies spéciales, mais aussi qui n'impliquent pas le recours à des mesures d'organisation particulières (précision de jurisprudence) (consid. 2b). La pose de carrelages dans une centaine de pièces d'eau ne rentre pas dans cette notion (consid. 2c).</w:t>
      </w:r>
    </w:p>
    <w:p>
      <w:r>
        <w:t>Regesto Prescrizione dell'azione per lavoro d'artigiano (art. 128 n. 3 CO). La nozione di lavoro artigianale dev'essere riservata a quelle opere che non solo non necessitano dell'impiego di tecnologie speciali, ma nemmeno implicano il ricorso a misure organizzative particolari (precisazione della giurisprudenza) (consid. 2b). La posa di piastrelle in un centinaio di servizi non rientra in questa nozione (consid. 2c).</w:t>
      </w:r>
    </w:p>
    <w:p>
      <w:pPr>
        <w:pStyle w:val="Heading2"/>
      </w:pPr>
      <w:r>
        <w:t>Erwägungen</w:t>
      </w:r>
    </w:p>
    <w:p>
      <w:r>
        <w:rPr>
          <w:b/>
        </w:rPr>
        <w:t>E. 1</w:t>
      </w:r>
    </w:p>
    <w:p>
      <w:r>
        <w:t>a) La cour cantonale a retenu que le travail confié à la demanderesse avait consisté en la fourniture de carrelages acquis au préalable auprès de tiers, puis en la pose de ceux-ci dans les pièces d'eau, les cuisines, les paliers et les buanderies des bâtiments. Elle a estimé que le travail de pose présentait un caractère manuel et nécessitait un certain savoir-faire; la demanderesse avait dû ajuster les carrelages et procéder à des découpes, activité qui, même si elle avait entraîné l'usage de machines, conférait un caractère artisanal au travail fourni. Comme la pose représentait le 60% du prix facturé, soit une importance supérieure à celle des autres prestations, l'autorité cantonale a admis qu'elle était en présence de l'action d'un artisan au sens de l' art. 128 ch. 3 CO . Avec le Tribunal de première instance, elle a considéré que le délai de cinq ans prévu par cette disposition était écoulé au jour du dépôt en conciliation de la demande. Enfin, la cour cantonale a jugé que les défendeurs ne commettaient pas d'abus de droit en invoquant la prescription. BGE 123 III 120 S. 122 b) La demanderesse soutient que l'on doit appliquer à sa créance le délai ordinaire de dix ans de l' art. 127 CO , car son action doit être considérée comme celle d'un entrepreneur et non d'un artisan.</w:t>
      </w:r>
    </w:p>
    <w:p>
      <w:r>
        <w:rPr>
          <w:b/>
        </w:rPr>
        <w:t>E. 2</w:t>
      </w:r>
    </w:p>
    <w:p>
      <w:r>
        <w:t>a) Selon la jurisprudence, l'applicabilité de l' art. 128 ch. 3 CO dépend exclusivement de la nature du travail auquel l'entrepreneur s'est obligé. Dans le travail artisanal, l'activité manuelle revêt une importance supérieure (ou au moins égale) à celle des autres prestations qui supposeront notamment l'emploi de machines, des travaux d'organisation, des tâches administratives. Cette notion correspond au sens usuel de l'expression dans le langage courant. L'artisanat est une activité économique qui s'exerce manuellement au moyen d'outils ou d'instruments simples, pour façonner ou transformer des matériaux. L'utilisation de machines rentre rarement dans ce concept, qui s'oppose en outre à la livraison d'objets construits industriellement en série ( ATF 116 II 428 consid. 1; ATF 109 II 112 consid. 2; cf. aussi les arrêts non publiés du 20.05.1996 dans la cause 4C.416/1995 et du 12.02.1992 dans la cause 4C.318/1991).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ou d'une installation électrique, ainsi que l'exécution de travaux de nettoyage ou de jardinage. N'ont, en revanche, pas été considérés comme travaux artisanaux l'édification d'une maison entière, la livraison et le montage de portes et fenêtres normalisées, le déblaiement de l'emplacement d'un gros incendie ou des travaux d'aplanissement de terrain avec un trax (pour tous ces exemples voir GAUCH, Der Werkvertrag, 4e éd., n. 1291 s. et les références). La jurisprudence a encore posé que l' art. 128 ch. 3 CO , en regard de l' art. 127 CO , consacrait une exception et devait dès lors être interprété restrictivement ( ATF 116 II 428 consid. 1b et l'arrêt cité). Dans la doctrine, on penche également pour cette interprétation restrictive et pour que soit appliqué dans le doute le délai normal de prescription de l' art. 127 CO , en particulier lorsque le travail représente plus qu'un simple travail courant ou de routine ("um mehr als um ein schlichtes Alltagsgeschäft handelt") (GAUCH, op.cit., n. 1288; TERCIER, Les contrats spéciaux, 2e éd., n. 3745). BGE 123 III 120 S. 123 b) Tant dans la jurisprudence (arrêt non publié du 20.05.1996 précité, consid. 2a) que parmi la doctrine (cf. GAUCH, op.cit., n. 1291), on a souligné qu'il n'est pas toujours aisé de distinguer si l'on a ou non affaire à un travail artisanal. Certains précédents jugés par le Tribunal fédéral ont fait l'objet de critiques sur le plan théorique (MERZ in RJB 1992 p. 211 et GAUCH in DC 1991 p. 99). Fonder la distinction à effectuer entre la créance d'un artisan et celle d'un entrepreneur exclusivement sur la nature du travail fourni - particulièrement au vu des progrès technologiques accomplis dans les domaines relevant traditionnellement de l'artisanat - n'est pas source de sécurité juridique absolue. Définir le travail artisanal au sens de l' art. 128 ch. 3 CO en fonction uniquement du caractère de l'activité effectuée ne satisfait pas non plus du point de vue de la ratio legis; l'introduction d'un délai plus court s'est faite dans l'idée qu'il était usuel dans certains contrats synallagmatiques de s'exécuter à bref délai, sans généralement dresser d'actes ni garder longtemps de quittances, le fait de tarder à recourir aux tribunaux portant à admettre que le créancier avait été satisfait selon l'usage ( ATF 109 II 112 consid. 2a; 98 II 184 consid. 3b et les références au message du Conseil fédéral). Avec le développement du commerce, cette ratio legis a largement perdu de son sens, ce qui explique aussi pourquoi l'on défend communément, on l'a déjà relevé, une interprétation restrictive de la règle en question. Cela ne veut toutefois pas dire qu'il faille faire totalement abstraction des buts initialement poursuivis par le législateur. Si l'on se rappelle qu'il s'agissait alors de favoriser la liquidation plus rapide de certaines affaires courantes, retenir comme seul critère d'appréciation le caractère manuel du travail effectué, sans prendre en considération l'importance de celui-ci, n'est pas totalement satisfaisant. Il convient de réserver la notion de travail artisanal aux travaux qui de manière générale ne nécessitent pas l'emploi de technologies spéciales, mais aussi qui n'impliquent pas de recourir à des mesures de planification - en matière de personnel ou de délais - ainsi que de coordination avec d'autres corps de métiers, et qui peuvent donc être effectués sans la mise en oeuvre de moyens administratifs particuliers. Ce n'est qu'en présence de travaux manuels typiques, traditionnels, accomplis dans un cadre restreint, que l'on appliquera la prescription réduite de l' art. 128 ch. 3 CO . c) Examinée à l'aune de ces principes, la créance litigieuse ne revêt assurément pas le caractère d'une créance d'artisan. Il est vrai que la pose de carrelages constitue en soi un travail artisanal, et qu'il BGE 123 III 120 S. 124 est constant que celle-ci a représenté le 60% des prestations de la demanderesse. L'exécution d'une telle activité pour plus de 100 pièces d'eau (salles de bains, cuisines, paliers, buanderies) implique cependant des tâches de planification, d'organisation et d'administration qui vont largement au-delà de celles qu'un artisan assume traditionnellement, et qui doivent être assimilées à celles qu'accomplit un entrepreneur, au sens où on l'entend généralement. Autrement dit, on n'est pas en présence d'une affaire courante (Alltagsgeschäft) justifiant une liquidation particulièrement rapide. Dans ces conditions, il convient de s'en tenir au délai usuel de prescription de dix ans.</w:t>
      </w:r>
    </w:p>
    <w:p>
      <w:r>
        <w:rPr>
          <w:b/>
        </w:rPr>
        <w:t>E. 3</w:t>
      </w:r>
    </w:p>
    <w:p>
      <w:r>
        <w:t>Le recours doit être admis. L'arrêt attaqué sera par conséquent annulé. Le Tribunal fédéral est en mesure de statuer au vu du dossier. Les défendeurs admettent qu'au cas où elle serait soumise à la prescription décennale de l' art. 127 CO , la prétention de la demanderesse serait bien fondée. Ils seront ainsi solidairement condamnés à verser à celle-ci le montant de 12'000 fr. Les intérêts partiront à compter du 19 décembre 1994, date de la mise en demeure ( art. 102 et 103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