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V 19</w:t>
      </w:r>
    </w:p>
    <w:p>
      <w:r>
        <w:t>Bundesgericht (BGE), 1996-01-01, DE</w:t>
      </w:r>
    </w:p>
    <w:p>
      <w:r>
        <w:rPr>
          <w:b/>
        </w:rPr>
        <w:t xml:space="preserve">Quelle: </w:t>
      </w:r>
      <w:r>
        <w:t>https://mcp.opencaselaw.ch/entscheid/bge_BGE_122_V_19</w:t>
      </w:r>
    </w:p>
    <w:p>
      <w:r>
        <w:t>FR: ATF 122 V 19</w:t>
      </w:r>
    </w:p>
    <w:p>
      <w:r>
        <w:t>IT: DTF 122 V 19</w:t>
      </w:r>
    </w:p>
    <w:p>
      <w:pPr>
        <w:pStyle w:val="Heading2"/>
      </w:pPr>
      <w:r>
        <w:t>Regeste</w:t>
      </w:r>
    </w:p>
    <w:p>
      <w:r>
        <w:t>Regeste Art. 27 Abs. 1 ELV: Rückerstattung. Bei der Neuberechnung der Ergänzungsleistung zur Ermittlung des Rückerstattungsbetrages ist von den Verhältnissen auszugehen, wie sie im Rückerstattungszeitraum tatsächlich bestanden haben. Namentlich sind alle anspruchsrelevanten, das anrechenbare Einkommen erhöhenden und vermindernden Tatsachenänderungen (Art. 25 ELV) zu berücksichtigen. Eine Nachzahlung von Ergänzungsleistungen ist jedoch ausgeschlossen (vgl. Rz. 7034 WEL).</w:t>
      </w:r>
    </w:p>
    <w:p>
      <w:r>
        <w:t>Regeste Art. 27 al. 1 OPC-AVS/AI: restitution de prestations. Pour procéder au nouveau calcul de la prestation complémentaire, déterminant pour la fixation du montant des prestations soumises à restitution, il y a lieu de tenir compte des circonstances telles qu'elles se présentent au moment où l'intéressé devrait s'acquitter de sa dette. En particulier, il convient de prendre en considération tout changement propre à influencer le droit à prestations et qui donne lieu à une augmentation ou à une diminution du revenu déterminant (art. 25 OPC-AVS/AI). L'allocation de prestations complémentaires à titre rétroactif est toutefois exclue (cf. ch. m. 7034 DPC).</w:t>
      </w:r>
    </w:p>
    <w:p>
      <w:r>
        <w:t>Regesto Art. 27 cpv. 1 OPC-AVS/AI: restituzione. Procedendo al nuovo calcolo della prestazione complementare ai fini della determinazione dell'importo da restituire, ci si deve basare sulle circostanze concrete esistenti all'epoca cui si riferisce la restituzione. Devono in particolare essere prese in considerazione tutte le modificazioni di fatti rilevanti per il diritto alla prestazione, comportanti un aumento o una diminuzione del reddito computabile (art. 25 OPC-AVS/AI). Il pagamento di prestazioni complementari arretrate è tuttavia escluso (cfr. cifra marg. 7034 DPC).</w:t>
      </w:r>
    </w:p>
    <w:p>
      <w:pPr>
        <w:pStyle w:val="Heading2"/>
      </w:pPr>
      <w:r>
        <w:t>Erwägungen</w:t>
      </w:r>
    </w:p>
    <w:p>
      <w:r>
        <w:rPr>
          <w:b/>
        </w:rPr>
        <w:t>E. 1</w:t>
      </w:r>
    </w:p>
    <w:p>
      <w:r>
        <w:t>(Kognition) BGE 122 V 19 S. 21</w:t>
      </w:r>
    </w:p>
    <w:p>
      <w:r>
        <w:rPr>
          <w:b/>
        </w:rPr>
        <w:t>E. 2</w:t>
      </w:r>
    </w:p>
    <w:p>
      <w:r>
        <w:t>Streitig und zu prüfen ist die Rückerstattung der von der Beschwerdeführerin vom 1. August 1990 bis 31. Januar 1993 bezogenen Ergänzungsleistungen.</w:t>
      </w:r>
    </w:p>
    <w:p>
      <w:r>
        <w:rPr>
          <w:b/>
        </w:rPr>
        <w:t>E. 3</w:t>
      </w:r>
    </w:p>
    <w:p>
      <w:r>
        <w:t>Gemäss Art. 47 Abs. 1 AHVG sind unrechtmässig bezogene Renten und Hilflosenentschädigungen zurückzuerstatten; bei gutem Glauben und gleichzeitigem Vorliegen einer grossen Härte kann von der Rückforderung abgesehen werden. Art. 27 Abs. 1 ELV erklärt diese Ordnung für den Bereich der Ergänzungsleistungen als sinngemäss anwendbar. a) Die Rückforderung nach Massgabe dieser Bestimmungen ist nur unter den Voraussetzungen der Wiedererwägung oder prozessualen Revision der formell rechtskräftigen Verfügung, mit welcher die betreffende Leistung zugesprochen worden ist, zulässig ( BGE 110 V 179 Erw. 2a). Gemäss einem allgemeinen Grundsatz des Sozialversicherungsrechts kann die Verwaltung eine formell rechtskräftige Verfügung, welche nicht Gegenstand materieller richterlicher Beurteilung gebildet hat, in Wiedererwägung ziehen, wenn sie zweifellos unrichtig und ihre Berichtigung von erheblicher Bedeutung ist ( BGE 119 V 183 Erw. 3a, 477 Erw. 1). Im Rahmen der prozessualen Revision, die von der Wiedererwägung unterschieden werden muss, ist die Verwaltung verpflichtet, auf eine formell rechtskräftige Verfügung zurückzukommen, wenn neue Tatsachen oder Beweismittel entdeckt werden, die geeignet sind, zu einer andern rechtlichen Beurteilung zu führen ( BGE 119 V 184 Erw. 3a, 477 Erw. 1a). b) Nach Art. 25 Abs. 1 lit. c ELV ist die Ergänzungsleistung zu erhöhen, herabzusetzen oder aufzuheben bei Eintritt einer voraussichtlich längere Zeit dauernden Verminderung oder Erhöhung des anrechenbaren Einkommens. Massgebend sind das neue, auf ein Jahr umgerechnete dauernde Einkommen und das bei Eintritt der Änderung vorhandene Vermögen. Macht die Änderung weniger als 120 Franken im Jahr aus, so kann auf eine Anpassung verzichtet werden. Die Ergänzungsleistung ist neu zu verfügen: bei Verminderung des anrechenbaren Einkommens auf den Beginn des Monats, in dem die Änderung gemeldet wurde, frühestens aber des Monats, in dem diese eingetreten ist; bei Erhöhung des anrechenbaren Einkommens, spätestens auf den Beginn des Monats, der auf die neue Verfügung folgt. Vorbehalten bleibt Artikel 27 bei Verletzung der Meldepflicht ( Art. 25 Abs. 2 lit. b und c ELV ). Art. 25 ELV hat die Revision der Ergänzungsleistung im Sinne der Anpassung an geänderte tatsächliche Verhältnisse zum Gegenstand, BGE 122 V 19 S. 22 regelt also Veränderungen in den persönlichen und wirtschaftlichen Verhältnissen des EL-Bezügers während des Leistungsbezuges ( BGE 119 V 193 unten; vgl. U. MEYER-BLASER, Die Abänderung formell rechtskräftiger Verwaltungsverfügungen in der Sozialversicherung, in: ZBl 95 (1994) S. 337 ff., S. 349). Gemäss der in Art. 24 Satz 1 ELV statuierten Meldepflicht hat der Anspruchsberechtigte, sein gesetzlicher Vertreter oder gegebenenfalls die Drittperson oder die Behörde, welcher eine Ergänzungsleistung ausbezahlt wird, der kantonalen Durchführungsstelle von jeder Änderung der persönlichen und von jeder ins Gewicht fallenden Änderung der wirtschaftlichen Verhältnisse unverzüglich Mitteilung zu machen. c) Es steht fest, dass der Beschwerdeführerin im Zeitraum August 1990 bis Januar 1993 Ergänzungsleistungen ausgerichtet wurden in der unrichtigen Annahme, dass sie sich ständig auf der Pflegeabteilung des Alters- und Pflegeheims X aufhalte und dort eine Tagestaxe von Fr. 128.10 zu bezahlen habe. Tatsächlich wechselte sie im August 1990 - noch vor Erlass der Verfügung vom 13. November 1990 - auf die Altersabteilung jenes Heimes und im September 1992 ins Alters- und Pflegeheim Y, wobei hier wie dort wesentlich geringere Tagestaxen (zwischen Fr. 79.-- und Fr. 94.--) anfielen. Dass tiefere Heimkosten regelmässig weniger Ausgaben und damit geringere Ergänzungsleistungen zur Folge haben, musste auch der Beschwerdeführerin bekannt sein, wie Ausgleichskasse und kantonale Rekurskommission richtig festhalten. Für die EL-Berechnung ist sodann von Bedeutung, ob ein EL-Ansprecher oder -Bezüger sich in einem Alters- oder einem Pflegeheim aufhält. Denn der Kanton Thurgau behandelt im Rahmen der ihm gemäss Art. 2 Abs. 1bis und Art. 4 Abs. 1 lit. d, e ELG zustehenden Kompetenzen Altersrentner in Pflegeheimen oder Altersheimen zum Teil stark unterschiedlich: - Erhöhung der Einkommensgrenzen um einen weiteren Drittel ( Art. 4 Abs. 1 lit. d ELG ) bei Pflegeheiminsassen; - Erhöhung des Vermögensverzehrs auf einen Fünftel ( Art. 4 Abs. 1 lit. e ELG ) bei Pflegeheiminsassen; - Begrenzung der Kosten, die wegen des Heimaufenthaltes berücksichtigt werden ( Art. 2 Abs. 1bis ELG ), bei (alleinstehenden) Altersheiminsassen; - Begrenzung der anrechenbaren persönlichen Auslagen ( Art. 2 Abs. 1bis ELG ) auf 15%/25% der massgebenden Einkommensgrenze bei BGE 122 V 19 S. 23 (alleinstehenden) Pflegeheim/Altersheiminsassen (vgl. §§ 2, 3bis und 4bis des Gesetzes über die Ergänzungsleistungen zur Alters-, Hinterlassenen- und Invalidenversicherung vom 25. August 1971, in der Fassung gemäss GRV vom 8. Dezember 1986, Thurgauer Rechtsbuch IV Nr. 831.3). d) Nach dem Gesagten stellt die nicht rechtzeitige Meldung des Heimwechsels im September 1992 eine Verletzung der Meldepflicht im Sinne von Art. 24 ELV dar und kann nach Art. 25 Abs. 1 lit. b und Abs. 2 lit. c ELV eine Rückerstattung nach sich ziehen. Dagegen liegt in bezug auf die Umplazierung im August 1990 keine Meldepflichtverletzung vor, da sie vor der EL-Zusprechung am 13. November 1990 stattgefunden hatte (unveröffentlichtes Urteil S.-I. vom 10. Februar 1993). Indessen ist diese erst Ende 1992 bekanntgewordene neue Tatsache nach den Regeln über die prozessuale Revision rückwirkend und damit allenfalls rückerstattungsbegründend zu berücksichtigen. Die Rückerstattungspflicht der Beschwerdeführerin ist somit grundsätzlich zu bejahen.</w:t>
      </w:r>
    </w:p>
    <w:p>
      <w:r>
        <w:rPr>
          <w:b/>
        </w:rPr>
        <w:t>E. 4</w:t>
      </w:r>
    </w:p>
    <w:p>
      <w:r>
        <w:t>a) Bei der Neuberechnung der Ergänzungsleistung zur Ermittlung des Rückerstattungsbetrages berücksichtigte die Ausgleichskasse die Umplazierung (August 1990) und den Heimwechsel (September 1992) sowie - ab Januar 1993 - den Verbrauch des Sparguthabens (1991/92). Dies ergab (jährliche) Einnahmenüberschüsse von Fr. 3'759.-- (August 1990 bis Dezember 1991), Fr. 2'456.-- (Januar 1992 bis September 1992), Fr. 6'733.-- (Oktober 1992 bis Dezember 1992) und Fr. 359.-- (Januar 1993), weshalb im fraglichen Zeitraum überhaupt kein EL-Anspruch bestanden habe. Die Beschwerdeführerin macht geltend, der Verbrauch des Sparguthabens (1990: Fr. 13'225.--, 1991: Fr. 9'584.--, 1992: Fr. 18'296.--), Krankheitskosten (Insulinspritzen, Blutzuckerbestimmungen ab Februar 1992) sowie die Liegenschaftsübertragung an ihren Sohn unter Einräumung des Wohnrechts im November 1990 seien als das anrechenbare Einkommen vermindernde Änderungen ebenfalls in die Neuberechnung miteinzubeziehen. b) Die kantonale Rekurskommission hat die Rechtsauffassung der Ausgleichskasse, wonach bei der EL-Neuberechnung lediglich das anrechenbare Einkommen erhöhende Änderungen rückwirkend zu berücksichtigen seien, geschützt mit dem Hinweis auf Art. 25 Abs. 2 lit. b ELV . Da die Beschwerdeführerin die geltend gemachten einkommensvermindernden Umstände erstmals in der kantonalen Beschwerde vom 9. Juli 1993 gemeldet habe, BGE 122 V 19 S. 24 könnten sie, so die Vorinstanz weiter, frühestens ab diesem Zeitpunkt berücksichtigt werden. In diesem Sinne sei die nicht gemeldete Liegenschaftsübertragung an den Sohn im November 1990 unter dem Titel Vermögensverzicht nur in die EL-Neuberechnung miteinzubeziehen, wenn und soweit dadurch das anrechenbare Einkommen erhöht worden sei.</w:t>
      </w:r>
    </w:p>
    <w:p>
      <w:r>
        <w:rPr>
          <w:b/>
        </w:rPr>
        <w:t>E. 5</w:t>
      </w:r>
    </w:p>
    <w:p>
      <w:r>
        <w:t>a) Bei der Prüfung der Frage, wie der Rückforderungsbetrag zu berechnen sei, ist davon auszugehen, dass die Ergänzungsleistungen eine angemessene Deckung des Existenzbedarfs bedürftiger Rentner der Alters- und Hinterlassenen- sowie der Invalidenversicherung bezwecken (vgl. Art. 34quater Abs. 2 BV in Verbindung mit Art. 11 Abs. 1 ÜbBest. BV; BGE 108 V 241 Erw. 4c). Dabei geht es darum, die laufenden Lebensbedürfnisse, soweit sie die gesetzlich massgebende Einkommensgrenze übersteigen ( Art. 2 Abs. 1 und Art. 5 Abs. 1 ELG ), abzudecken (EVGE 1968 S. 132 Erw. 2). Es sind deshalb, abgesehen vom Tatbestand des Vermögensverzichts gemäss Art. 3 Abs. 1 lit. f ELG , bei der Anspruchsberechtigung nur tatsächlich vereinnahmte Einkünfte und vorhandene Vermögenswerte zu berücksichtigen, über die der Leistungsansprecher ungeschmälert verfügen kann ( BGE 115 V 353 Erw. 5c mit Hinweisen; AHI 1994 S. 216 Erw. 3a). Dieser Grundsatz gilt auch bei der in Art. 25 ELV positivrechtlich normierten Anpassung (Erhöhung, Herabsetzung, Aufhebung) der Ergänzungsleistung an geänderte tatsächliche Verhältnisse. Dies bedeutet insbesondere, dass der EL-Neuberechnung der im Rahmen des Untersuchungsgrundsatzes und der dem EL-Bezüger obliegenden Mitwirkungspflicht ( BGE 119 V 211 Erw. 3b mit Hinweisen) festgestellte Sachverhalt zugrunde zu legen ist. b) Die gleichen Überlegungen müssen auch bei der Neuberechnung der Ergänzungsleistung im Hinblick auf eine Rückforderung von zuviel bezogenen Ergänzungsleistungen nach Art. 27 Abs. 1 ELV gelten. aa) Dem steht nicht entgegen, dass nach Art. 25 Abs. 2 lit. b ELV die Nachzahlung von Ergänzungsleistungen ausgeschlossen ist, wenn der EL-Bezüger Umstände, die eine voraussichtlich längere Zeit dauernde Verminderung des anrechenbaren Einkommens im Sinne von Art. 25 Abs. 1 lit. c und Abs. 2 lit. b ELV zur Folge haben, verspätet meldet oder solche Änderungen erst nach deren Eintritt der Verwaltung bekannt werden ( BGE 119 V 193 f. Erw. 2c, d). Dieses anpassungsrechtliche Nachzahlungsverbot ist im Rückerstattungsverfahren nach Art. 27 ELV lediglich insofern von Bedeutung, BGE 122 V 19 S. 25 als der Versicherte im günstigsten Fall keine Ergänzungsleistungen rückzuerstatten hat. bb) Diese Auffassung stimmt sodann überein mit der Verwaltungspraxis gemäss Rz. 7034 der Wegleitung über die Ergänzungsleistungen zur AHV und IV [WEL] in der seit 1. Januar 1987 geltenden Fassung. Diese Verwaltungsweisung lautet wie folgt: "Stellt sich bei der Neuberechnung heraus, dass einzelne Berechnungsposten zugunsten des Versicherten ausfallen, können diese in die Neuberechnung miteinbezogen werden. Eine Nachzahlung ist jedoch zu unterlassen." Verwaltungsweisungen sind für den Sozialversicherungsrichter zwar nicht verbindlich. Er soll sie jedoch bei seiner Entscheidung mitberücksichtigen, sofern sie eine dem Einzelfall angepasste und gerecht werdende Auslegung der anwendbaren gesetzlichen Bestimmungen zulassen ( BGE 119 V 259 Erw. 3a mit Hinweisen). Dies ist hier zu bejahen. Rz. 7034 WEL stellt nicht bloss eine Sonderregelung zur Verhinderung von Härtefällen dar, wie das BSV in seiner Vernehmlassung ausführt. Vielmehr ermöglicht diese Praxis eine rechtsgleiche Regelung der Rückerstattungsfrage (vgl. EVGE 1968 S. 133 oben), indem der Rückforderungsbetrag ungeachtet des Meldeverhaltens der EL-Bezüger und unabhängig davon, dass allenfalls die Verwaltung von einer Tatsachenänderung zufällig Kenntnis erhält, festgesetzt wird. Namentlich wird damit eine Besserstellung derjenigen EL-Bezüger verhindert, die, aus welchen Gründen auch immer, lediglich anspruchserhöhende Tatsachenänderungen melden. cc) Im weitern ist zu berücksichtigen, dass das anrechenbare Einkommen als für die Anspruchsberechtigung als solche wie auch für die Höhe der Ergänzungsleistung relevante Grösse ( Art. 2 Abs. 1 und Art. 5 Abs. 1 ELV ) das Ergebnis einer Berechnung ist (vgl. Art. 3 ELG ). Da eine Tatsachenänderung unter Umständen mehrere Positionen in der EL-Berechnung berührt, wie insbesondere beim Wechsel von der eigenen Wohnung in ein Heim oder in eine Mietwohnung bei gleichzeitiger Veräusserung der Wohnliegenschaft, steht meist erst nach Durchführung der Neuberechnung fest, ob eine Erhöhung oder eine Verminderung des anrechenbaren Einkommens vorliegt (unveröffentlichtes Urteil K. vom 1. April 1971). In solchen Fällen bei der EL-Neuberechnung zur Ermittlung des Rückerstattungsbetrages lediglich die für den EL-Bezüger ungünstigen Berechnungsfaktoren zu ändern, wäre stossend. BGE 122 V 19 S. 26 dd) Schliesslich ist zu beachten, dass die nicht oder nicht rechtzeitige Meldung einer das anrechenbare Einkommen - im Ergebnis - vermindernden und damit ergänzungsleistungserhöhenden Tatsachenänderung die Nichtausschöpfung des EL-Anspruchs bedeutet, somit nicht eine Auszahlung von unrechtmässigen, zu hohen Ergänzungsleistungen bewirkt. Es würde dem Grundsatz der Rückerstattungspflicht als einer an das Recht gebundenen versicherungsmässigen Sanktion ohne pönalen Charakter ( BGE 118 V 220 unten), die lediglich verhindern will, dass der Versicherte von der Versicherung mehr erhält, als dem Gesetz entspricht (EVGE 1968 S. 144 Erw. 2f), widersprechen, wenn der EL-Bezüger im Rückforderungsprozess nicht Tatsachenänderungen zu seinen Gunsten "einredeweise" geltend machen könnte. c) Zusammenfassend ist festzustellen, dass im Sinne der Verwaltungspraxis gemäss Rz. 7034 WEL bei der Neuberechnung der Ergänzungsleistung zur Ermittlung des Rückerstattungsbetrages alle anspruchsrelevanten, das anrechenbare Einkommen erhöhenden und vermindernden Tatsachenänderungen zu berücksichtigen sind. Eine Nachzahlung ist jedoch ausgeschlossen.</w:t>
      </w:r>
    </w:p>
    <w:p>
      <w:r>
        <w:rPr>
          <w:b/>
        </w:rPr>
        <w:t>E. 6</w:t>
      </w:r>
    </w:p>
    <w:p>
      <w:r>
        <w:t>Die von der Beschwerdeführerin geltend gemachten Änderungen im Rückerstattungszeitraum August 1990 bis Januar 1993: Verbrauch des Sparguthabens, Krankheitskosten (Insulinspritzen, Blutzuckerbestimmungen ab Februar 1992), Liegenschaftsübertragung an ihren Sohn unter Einräumung des Wohnrechts im November 1990, sind, soweit ausgewiesen, bei der EL-Neuberechnung mitzuberücksichtigen. Namentlich sind die Krankheitskosten nach Art. 3 Abs. 4 lit. e ELG abziehbar. Denn Insulin-Injektionen und Blutzuckerbestimmung sind wissenschaftlich anerkannte Massnahmen im Sinne von Art. 5 lit. a ELKV in Verbindung mit Art. 19 Abs. 2 ELV und Art. 3 Abs. 4bis ELG . Dabei sind alle im Rückerstattungszeitraum angefallenen Kosten zu berücksichtigen. Dass nach Art. 2 lit. a ELKV die Kosten abziehbar sind, wenn der Abzug innert 15 Monaten nach Rechnungsstellung geltend gemacht wird, ist im Rückerstattungsprozess ohne Belang (vgl. Erw. 5c). Im übrigen wird die Ausgleichskasse, an welche die Sache zur Neufestsetzung des Rückforderungsbetrages zurückgewiesen wird, zu beachten haben, dass sie bisher unter dem Titel "Mietwert der eigenen Wohnung" einen (jährlichen) Betrag von Fr. 2'700.-- zum anrechenbaren Einkommen gezählt hat. Gemäss Art. 12 ELV in Verbindung mit Art. 3 Abs. 1 lit. b ELG gilt jedoch lediglich der (nach steuerlichen Grundsätzen bemessene) Mietwert einer vom Eigentümer BGE 122 V 19 S. 27 oder Nutzniesser bewohnten Wohnung als anrechenbares Einkommen aus unbeweglichem Vermögen. Die Beschwerdeführerin lebt jedoch erwiesenermassen seit 25. Mai 1990 dauernd in einem Heim.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