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142</w:t>
      </w:r>
    </w:p>
    <w:p>
      <w:r>
        <w:t>Bundesgericht (BGE), 1996-01-01, DE</w:t>
      </w:r>
    </w:p>
    <w:p>
      <w:r>
        <w:rPr>
          <w:b/>
        </w:rPr>
        <w:t xml:space="preserve">Quelle: </w:t>
      </w:r>
      <w:r>
        <w:t>https://mcp.opencaselaw.ch/entscheid/bge_BGE_122_V_142</w:t>
      </w:r>
    </w:p>
    <w:p>
      <w:r>
        <w:t>FR: ATF 122 V 142</w:t>
      </w:r>
    </w:p>
    <w:p>
      <w:r>
        <w:t>IT: DTF 122 V 142</w:t>
      </w:r>
    </w:p>
    <w:p>
      <w:pPr>
        <w:pStyle w:val="Heading2"/>
      </w:pPr>
      <w:r>
        <w:t>Regeste</w:t>
      </w:r>
    </w:p>
    <w:p>
      <w:r>
        <w:t>Regeste Art. 28, 29, 66 BVG, Art. 331b OR, Art. 89bis ZGB. - Damit die als Befreiungsversprechen (Art. 175 Abs. 1 OR) zu wertende arbeitsvertragliche Verpflichtung des Arbeitgebers, den reglementsgemäss dem versicherten Arbeitnehmer obliegenden Einkauf zu finanzieren, vorsorgerechtlich bedeutsam wird, bedarf es nicht nur eines Schuldübernahmevertrages (Art. 176 Abs. 1 OR) zwischen Vorsorgeeinrichtung und Arbeitgeber, sondern einer schriftlichen Änderung des Vorsorgevertrages selbst (Präzisierung der Rechtsprechung). - In casu haben die Parteien des Vorsorgevertrages eine formgültige Absprache getroffen; doch ergibt deren Auslegung, dass damit die reglementarische Ordnung nicht derogiert wird.</w:t>
      </w:r>
    </w:p>
    <w:p>
      <w:r>
        <w:t>Regeste Art. 28, 29, 66 LPP, art. 331b CO, art. 89bis CC. - Engagement pris par l'employeur - et assimilable à une "promesse de libérer" au sens de l'art. 175 al. 1 CO - d'assumer le financement d'un rachat qui incombe normalement au travailleur assuré en vertu du règlement de prévoyance; pour qu'un tel engagement déploie des effets juridiques sur le plan de la prévoyance, il faut non seulement qu'une reprise de dette (art. 176 al. 1 CO) ait été conclue entre l'institution de prévoyance et l'employeur, mais il est également nécessaire que le contrat de prévoyance ait fait l'objet d'une modification écrite (précision de la jurisprudence). - En l'espèce, les parties au contrat de prévoyance ont passé une convention formellement valable; l'interprétation de cette dernière révèle toutefois qu'il n'a pas été dérogé à l'ordre réglementaire.</w:t>
      </w:r>
    </w:p>
    <w:p>
      <w:r>
        <w:t>Regesto Art. 28, 29, 66 LPP, art. 331b CO, art. 89bis CC. - Perché l'obbligo derivato dal contratto di lavoro - da ritenere promessa di liberazione ai sensi dell'art. 175 cpv. 1 CO -, per il quale il datore di lavoro si impegna a versare l'importo di riscatto che secondo il regolamento dovrebbe essere prestato dal lavoratore assicurato, assuma rilevanza dal profilo previdenziale, occorre non soltanto l'esistenza di un contratto d'assunzione di debito giusta l'art. 176 cpv. 1 CO tra l'istituto di previdenza e il datore di lavoro, ma è pure necessaria una modifica scritta del contratto previdenziale stesso (precisazione della giurisprudenza). - In casu, le parti del contratto previdenziale hanno stipulato un accordo formalmente valido; dall'interpretazione di quest'ultimo non risulta tuttavia una deroga all'ordinamento regolamentare.</w:t>
      </w:r>
    </w:p>
    <w:p>
      <w:pPr>
        <w:pStyle w:val="Heading2"/>
      </w:pPr>
      <w:r>
        <w:t>Erwägungen</w:t>
      </w:r>
    </w:p>
    <w:p>
      <w:r>
        <w:rPr>
          <w:b/>
        </w:rPr>
        <w:t>E. 1</w:t>
      </w:r>
    </w:p>
    <w:p>
      <w:r>
        <w:t>(Zuständigkeit)</w:t>
      </w:r>
    </w:p>
    <w:p>
      <w:r>
        <w:rPr>
          <w:b/>
        </w:rPr>
        <w:t>E. 2</w:t>
      </w:r>
    </w:p>
    <w:p>
      <w:r>
        <w:t>(Kognition)</w:t>
      </w:r>
    </w:p>
    <w:p>
      <w:r>
        <w:rPr>
          <w:b/>
        </w:rPr>
        <w:t>E. 3</w:t>
      </w:r>
    </w:p>
    <w:p>
      <w:r>
        <w:t>Streitig ist einzig, ob und - gegebenenfalls - in welchem Umfang die Freizügigkeitsleistung des Beschwerdeführers zu erhöhen ist um den Anteil am Einkauf, der an seiner Stelle gemäss arbeitsvertraglicher Absprache und mit Einverständnis der Vorsorgeeinrichtung von der Arbeitgeberin übernommen wurde.</w:t>
      </w:r>
    </w:p>
    <w:p>
      <w:r>
        <w:rPr>
          <w:b/>
        </w:rPr>
        <w:t>E. 4</w:t>
      </w:r>
    </w:p>
    <w:p>
      <w:r>
        <w:t>a) Bei den Rechtsbeziehungen, die zwischen dem Arbeitgeber, dem Arbeitnehmer und der Personalvorsorgeeinrichtung bestehen, gilt es deutlich BGE 122 V 142 S. 145 zwischen dem Arbeitsvertrag einerseits und dem Vorsorgevertrag anderseits zu unterscheiden. Dieser darf nicht mit dem Arbeitsvertrag im Sinne von Art. 319 ff. OR verwechselt oder als Bestandteil desselben angesehen werden (RIEMER, Das Recht der beruflichen Vorsorge in der Schweiz, 1985, S. 102, N. 13 zu § 4). Ohne Rücksicht auf inhaltliche Unterschiede erweist sich diese Abgrenzung schon deshalb als unumgänglich, weil an den beiden Verträgen je verschiedene Rechtssubjekte beteiligt sind. Während sich im Arbeitsvertrag der Arbeitnehmer und der Arbeitgeber gegenüberstehen, sind am Vorsorgevertrag der Arbeitnehmer und die rechtlich selbständige Vorsorgeeinrichtung beteiligt ( BGE 118 V 231 Erw. 4a; vgl. ferner BGE 120 V 344 Erw. 3b). b) Bei der Beschwerdegegnerin handelt es sich um eine umhüllende Vorsorgeeinrichtung, die nicht nur die gesetzlichen Minimalleistungen gemäss den Vorschriften des BVG erbringt, sondern weitergehende Leistungen, die dem Bereich der freiwilligen beruflichen Vorsorge zuzuordnen sind. Wie sich der aufliegenden Berechnung der Austrittsleistung entnehmen lässt, geht es bei den Freizügigkeitsansprüchen des Beschwerdeführers in erster Linie um solche aus dem überobligatorischen Bereich. Dies gilt auch für die hier streitige Einkaufsleistung. Im Bereich der vorliegend betroffenen freiwilligen beruflichen Vorsorge wird das Rechtsverhältnis zwischen einer Vorsorgeeinrichtung und dem Vorsorgenehmer durch den Vorsorgevertrag begründet, der den Innominatsverträgen (eigener Art) zuzuordnen ist. Als solcher untersteht er in erster Linie den allgemeinen Bestimmungen des Obligationenrechts. Das Reglement stellt den vorformulierten Inhalt des Vorsorgevertrages bzw. dessen Allgemeine Bedingungen (AGB) dar, denen sich der Versicherte ausdrücklich oder durch konkludentes Verhalten unterzieht ( BGE 118 V 232 Erw. 4b, BGE 116 V 221 Erw. 2 mit Hinweisen; vgl. ferner BGE 119 V 144 Erw. 5b). Dies schliesst nicht aus, dass im Einzelfall auch vom Reglement abweichende Abreden getroffen werden können (RIEMER, Vorsorge-, Fürsorge- und Sparverträge der beruflichen Vorsorge, in: Innominatsverträge, Festgabe zum 60. Geburtstag von Walter R. Schluep, S. 237). Allerdings bedarf es hiefür einer entsprechenden Vereinbarung zwischen der Vorsorgeeinrichtung und dem versicherten Arbeitnehmer, welchem Erfordernis die alleinige arbeitsvertragliche Abrede wesensgemäss nicht zu genügen vermag ( BGE 118 V 232 Erw. 4b; vgl. ferner SZS 1994 S. 202). BGE 122 V 142 S. 146 c) Die Auslegung des Reglements als vorformulierter Inhalt des Vorsorgevertrages geschieht nach dem Vertrauensprinzip. Dabei sind jedoch die den Allgemeinen Bedingungen innewohnenden Besonderheiten zu beachten, namentlich die sogenannten Unklarheits- und Ungewöhnlichkeitsregeln ( BGE 116 V 222 Erw. 2; SZS 1995 S. 51 und 1994 S. 205 Erw. 3c; zu den Auslegungsregeln vgl. ferner Alfred KOLLER, Schweizerisches Obligationenrecht, Allgemeiner Teil, Bd. I, Bern 1996, Nr. 1580 ff., 1605 ff.). Nach diesen Auslegungsgrundsätzen gilt es ausgehend vom Wortlaut und unter Berücksichtigung des Zusammenhanges, in dem eine streitige Bestimmung innerhalb des Reglements als Ganzes steht, den objektiven Vertragswillen zu ermitteln, den die Parteien mutmasslich gehabt haben. Dabei hat das Gericht zu berücksichtigen, was sachgerecht ist, weil nicht angenommen werden kann, dass die Parteien eine unvernünftige Lösung gewollt haben (KRAMER, Berner Kommentar, Bd. VI/1, N. 42 zu Art. 18 OR ). Sodann sind nach konstanter Rechtsprechung mehrdeutige Wendungen in vorformulierten Vertragsbedingungen im Zweifel zu Lasten ihres Verfassers auszulegen ( BGE 120 V 452 Erw. 5a, 119 II 373 Erw. 4b mit Hinweisen; JÄGGI/GAUCH, Zürcher Kommentar, Bd. V/1b, N. 451 ff. zu Art. 18 OR ; unveröffentlichtes Urteil E. vom 27. September 1995). Steht eine im Einzelfall getroffene vorsorgevertragliche Abrede in Frage, ist nach den gewöhnlichen Regeln der Vertragsauslegung zunächst nach dem übereinstimmenden wirklichen (subjektiven) Parteiwillen ( Art. 18 Abs. 1 OR ) zu suchen. Lässt sich ein übereinstimmender Wille der Parteien nicht feststellen, so sind deren Erklärungen ebenfalls nach dem Vertrauensprinzip auszulegen. Danach sind Willenserklärungen so zu deuten, wie sie vom Empfänger in guten Treuen verstanden werden durften und mussten ( BGE 121 III 123 Erw. 4b/aa mit Hinweisen; SJ 1995 S. 263 f. Erw. 1a; vgl. ferner KRAMER, a.a.O., N. 67 ff. und JÄGGI/GAUCH, a.a.O., N. 306, 332, 342 f. je zu Art. 18 OR ; GUHL/MERZ/KOLLER, Schweizerisches Obligationenrecht, Allgemeiner Teil, 8. Aufl., Zürich 1991, S. 97).</w:t>
      </w:r>
    </w:p>
    <w:p>
      <w:r>
        <w:rPr>
          <w:b/>
        </w:rPr>
        <w:t>E. 5</w:t>
      </w:r>
    </w:p>
    <w:p>
      <w:r>
        <w:t>a) Nach Art. 13 Ziff. 2 des Reglements der Pensionskasse W. vom 1. Januar 1990 haben deren "Mitglieder" die Möglichkeit, beim Eintritt in die Kasse Rentenprozente bis zum Erreichen der Maximalrente von 60% einzukaufen. Im übrigen entrichten die aktiven "Mitglieder" ab dem auf die Vollendung des 19. Altersjahres folgenden Jahr wiederkehrende Beiträge von 6% des versicherten Lohnes (Art. 16 Ziff. 1), während die Firma ihrerseits Beiträge in Höhe von 10% der versicherten Löhne aller beitragspflichtigen BGE 122 V 142 S. 147 "Mitglieder" erbringt (Art. 17 Ziff. 1). Unter dem Titel "Höhe der Austrittsabfindung" regelt sodann Art. 37 die Bemessung der Freizügigkeitsleistung. Diese besteht gemäss Ziff. 2 aus den eingebrachten Einlagen (Freizügigkeitsleistungen und Einkäufe) mit Zins, den persönlichen Beiträgen und Nachzahlungen ohne Zins, sowie einem Zuschlag auf die persönlichen Beiträge und Nachzahlungen von 40% im ersten Dienstjahr, jährlich um 4% steigend, bis zu einem Maximum von 120% ab 21. Dienstjahr. b) Aus der dargelegten reglementarischen Ordnung folgt, dass die Finanzierung des Einkaufs zusätzlicher Rentenprozente - vorsorgerechtlich - allein dem versicherten Arbeitnehmer obliegt. Denn die Beteiligung der Arbeitgeberin (Art. 17 Ziff. 1) bezieht sich einzig auf die paritätische Beitragspflicht ( Art. 66 Abs. 1 BVG ; Art. 331 Abs. 3 OR ), während der Einkauf (Art. 13 Ziff. 2) davon nicht erfasst wird. Mit anderen Worten handelt es sich bei den zum Zwecke des Einkaufs geleisteten Mitteln - immer aus Sicht des Reglements - ausschliesslich um Arbeitnehmerleistungen. Diese sind dem bei Auflösung des Arbeitsverhältnisses aus der Vorsorgeeinrichtung austretenden Versicherten (Art. 36 Ziff. 1) im Rahmen der "Austrittsabfindung" mitzugeben (Art. 37 Ziff. 2), was auch von der Beschwerdegegnerin nicht angezweifelt wird. Umstritten und im folgenden zu prüfen ist indes, ob die für den Einkauf aufgewendeten Mittel ihren Charakter als Arbeitnehmerleistungen verloren und daher bei der Bemessung der Freizügigkeitsleistung ausser acht zu bleiben haben, soweit sie gemäss arbeitsvertraglicher Absprache, mit Billigung der Beschwerdegegnerin von der Arbeitgeberin übernommen wurden.</w:t>
      </w:r>
    </w:p>
    <w:p>
      <w:r>
        <w:rPr>
          <w:b/>
        </w:rPr>
        <w:t>E. 6</w:t>
      </w:r>
    </w:p>
    <w:p>
      <w:r>
        <w:t>a) Die hier von der Arbeitgeberin im Rahmen des Arbeitsvertrages gleichsam im Sinne eines gebundenen Lohnbestandteils übernommene Verpflichtung, den aus vorsorgerechtlicher Sicht dem Beschwerdeführer obliegenden Einkauf zur Hälfte zu finanzieren, hat das Eidg. Versicherungsgericht in einem ähnlich gelagerten Fall als uneigentliche Schuldübernahme im Sinne eines Befreiungsversprechens gemäss Art. 175 Abs. 1 OR gewertet ( BGE 118 V 234 Erw. 6b mit Hinweisen). Damit solche Absprachen (extern) zu einem Schuldnerwechsel führen und darüber hinaus die entsprechenden Leistungen auch vorsorgerechtlich zu solchen des Arbeitgebers werden, bedarf es zusätzlich nicht nur eines Schuldübernahmevertrages (privative Schuldübernahme) im Sinne von Art. 176 ff. OR zwischen Vorsorgeeinrichtung (= Gläubigerin) und Arbeitgeberin (= Übernehmerin), sondern einer schriftlichen Änderung des Vorsorgevertrages BGE 122 V 142 S. 148 selbst ( BGE 118 V 235 f. Erw. 6c). Letzteres ist insofern erforderlich und hier klarer als in BGE 118 V 235 f. hervorzuheben, als die wesensgemäss ohne unmittelbaren Einbezug des ursprünglichen Schuldners ablaufende Schuldübernahme sich stets auf einzelne Verpflichtungen und nicht auf ganze Vertragsverhältnisse bezieht (GAUCH/SCHLUEP, Schweizerisches Obligationenrecht, Allgemeiner Teil, Bd. II, 6. Aufl., Zürich 1995, Rz. 3713; GUHL/MERZ/KOLLER, a.a.O., S. 247 unten f.). Mithin wechseln beim zweiseitigen Vertrag nur die Pflichten des Schuldners zum Übernehmer, während dieser die daraus fliessenden Rechte nicht geltend machen kann (SPIRIG, Zürcher Kommentar, Bd. V/1k, N. 40 zu Vorbemerkungen zu Art. 175 - 183 OR und N. 41 zu Art. 179 OR ). Folglich kann allein durch den sich im Verhältnis zwischen Arbeitgeberin und Vorsorgeeinrichtung vollziehenden Schuldübernahmevertrag das zwischen dieser und dem Versicherten bestehende vorsorgevertragliche Verhältnis von vornherein nicht wirksam abgeändert werden (insofern ungenau BGE 118 V 237 Erw. 6d). b) Im zu beurteilenden Fall ist am Vorliegen einer - über den Arbeitsvertrag und den zwischen Arbeitgeberin und Pensionskasse ergangenen Schuldübernahmevertrag hinausgreifenden - formgültigen Absprache zwischen Versichertem und Vorsorgeeinrichtung nicht zu zweifeln. In dieser Hinsicht ist nicht nur das Schreiben der Beschwerdegegnerin vom 6. September 1991 zu erwähnen, worin die hälftige Aufteilung der Einkaufsleistung zwischen Beschwerdeführer und Arbeitgeberin erwähnt wurde ("Gemäss Unterredung mit Herrn X würde dieser Betrag zu je 1/2 aufgeteilt, so dass Ihnen monatlich Fr. 301.70 als Einkauf vom Salär abgezogen würden, die andere Hälfte von Fr. 301.70 würde von der Firma getragen."), sondern vor allem die Aufnahmebestätigung vom 9. April 1992, die hinsichtlich der Einkaufsregelung wie folgt lautete: "Damit Sie den Maximalsatz der Altersrente von 60% erreichen, fehlen Ihnen 8,25%. Der Einkauf von Rentenprozenten basiert auf dem versicherten Jahreslohn und dem Alter. Für 1 Rentenprozent sind 8,4% von Fr. 140'400.--, d.h. Fr. 11'793.60 nötig. Der Einkauf der fehlenden 8,25 Rentenprozenten kostet Fr. 97'297.20. Wie bereits bei Ihrem Eintritt besprochen, werden Sie die fehlenden 8,25 Rentenprozente im Betrage von Fr. 97'297.20 mit einem monatlichen Zusatzbetrag bis Alter 65 (längstens bis zum Tod oder Invalidität) einkaufen; bei allfälliger vorzeitiger Pensionierung sind ausstehende Zusatzbeiträge bis zum Terminalter zu bezahlen. Der monatliche Zusatzbeitrag beträgt ab 01.03.1992 Fr. 589.90 und wird zu 50% von der Firma übernommen, d.h. Ihr monatlicher Abzug beläuft sich auf Fr. 294.95." BGE 122 V 142 S. 149 Diese Aufnahmebestätigung regelt die Modalitäten des konkreten Vorsorgeverhältnisses in Ergänzung zum Reglement vom 1. Januar 1990. Sie ist mit dem (stillschweigenden) Einverständnis des Beschwerdeführers zwischen den sachlich zuständigen Parteien (vgl. BRÜHWILER, Die betriebliche Personalvorsorge in der Schweiz, Bern 1989, § 8 Rz. 29), in schriftlicher Form ergangen und daher geeignet, zwischen diesen vorsorgerechtliche Wirkungen zu entfalten. Entgegen den Vorbringen in der Verwaltungsgerichtsbeschwerde ist der Vereinbarung insbesondere nicht schon deswegen die Verbindlichkeit abzusprechen, weil sie nicht vom Stiftungsrat selbst unterzeichnet wurde. Wie die Beschwerdegegnerin zu Recht ausführt, ist hier zwischen der Vertretung im Aussenverhältnis und der internen Beschlussfassung zu unterscheiden, wobei jene auch im Falle einer Stiftung auf bestimmte Organe oder Geschäftsführer - einzeln oder kollektiv - übertragen werden kann (RIEMER, Berner Kommentar, Bd. I/3, N. 5 ff. und 26 zu Art. 83 ZGB ), was hier offenbar zutrifft. Diese Frage der Vertretungsbefugnis mag letztlich offenbleiben. Denn die mangels Feststellbarkeit des subjektiven Vertragswillens nach dem Vertrauensprinzip vorzunehmende objektivierte Auslegung (vgl. Erw. 4c) der Aufnahmebestätigung ergibt, dass damit wohl der Einkauf zusätzlicher Rentenprozente und seine Zahlungsmodalitäten, darüber hinaus jedoch nichts weiter geregelt wurde, was hier von ausschlaggebender Bedeutung sein könnte. Namentlich ist ihr nichts zu entnehmen, was in guten Treuen als Abänderung von Art. 13 Ziff. 2 des Reglements verstanden werden dürfte oder gar müsste und was vor allem im Rahmen von dessen Art. 37 Ziff. 2 bei der Zusammensetzung der Austrittsabfindung beachtlich wäre. Insofern bleibt unerheblich, dass die Vorsorgeeinrichtung zu einer Beteiligung der Arbeitgeberin an der Finanzierung der Einkaufssumme Hand geboten hatte. Deswegen die entsprechenden Zahlungen als vorsorgerechtliche Arbeitgeberleistungen zu qualifizieren mit der Folge, dass diese im Freizügigkeitsfall nicht mitzugeben wären (vgl. Art. 37 Ziff. 2 des Reglements), geht jedenfalls im Lichte von Treu und Glauben nicht an, solange in der Aufnahmebestätigung auf die fraglichen Reglementsbestimmungen nicht einmal andeutungsweise Bezug genommen wird (vgl. hiezu BGE 118 V 237 Erw. 6c/dd). Dies um so weniger, als darin sogar ausdrücklich davon die Rede ist, dass der Beschwerdeführer ("Sie") die fehlenden Rentenprozente einzukaufen habe, worauf dieser in seiner Klage vergeblich hingewiesen hat. BGE 122 V 142 S. 150 c) Nach dem Gesagten ist die Vorinstanz zu Unrecht von einer vorsorgerechtlich bedeutsamen Abänderung der Einkaufsregelung gemäss Art. 13 Ziff. 2 des Reglements ausgegangen. Dabei hat sie ihrer Beurteilung zwar richtigerweise die in BGE 118 V 229 begründete Rechtsprechung zugrunde gelegt, dabei jedoch die - hier nach dem Vertrauensprinzip auszulegende - Einzelabrede zu wenig auf ihren Gehalt hin untersucht, welchem Gesichtspunkt das Eidg. Versicherungsgericht in jenem Fall zufolge Nichterfüllung des Formerfordernisses nicht nachzugehen brauchte. Nachdem somit die reglementarische Ordnung durch die Beteiligung der Arbeitgeberin an der Finanzierung des Einkaufs zusätzlicher Rentenprozente und die entsprechende Absprache nicht derogiert wurde, erweist sich das Begehren des Beschwerdeführers in grundsätzlicher Hinsicht als begründet. Damit bleibt die Bemessung der gestellten Forderung zu prüfen.</w:t>
      </w:r>
    </w:p>
    <w:p>
      <w:r>
        <w:rPr>
          <w:b/>
        </w:rPr>
        <w:t>E. 7</w:t>
      </w:r>
    </w:p>
    <w:p>
      <w:r>
        <w:t>Während der Beschwerdeführer in der Klage noch die Zusprechung des Anteils an der gesamten bis zum 65. Altersjahr zu erbringenden Einkaufssumme (Fr. 48'648.60) anbegehrte, beantragt er vor Eidg. Versicherungsgericht dem Sinne nach bloss noch, dass der ihm zustehende Betrag nach Massgabe der von ihm selbst (Fr. 19'193.--), allenfalls der von seiner Arbeitgeberin bereits erbrachten Leistungen (Fr. 4'719.20) festzusetzen sei. Diese Reduktion ist zu Recht erfolgt, nachdem das für den Einkauf erforderliche Kapital nach dem klaren Vertragswillen nicht auf einmal einbezahlt wurde, sondern - bis zum Erreichen des Pensionsalters - in monatlichen Raten aufzubringen war oder gewesen wäre. Dieser von allen Beteiligten gebilligte Zahlungsmodus entsprach durchaus dem Lohncharakter der fraglichen Leistung und der von den Parteien des Arbeitsvertrages ursprünglich zweifelsohne gewollten langfristigen Dauer ihrer Bindung. In Anbetracht dieser Sachlage zielte daher die ursprünglich erhobene Forderung nicht nur bei weitem über die real geleisteten Einlagen hinaus, in welchem Umfang ihr folglich jede Grundlage fehlte. Sie liesse sich auch mit den getroffenen vertraglichen Abreden oder den Ergebnissen einer richterlichen Vertragsergänzung nach Massgabe des hypothetischen Parteiwillens (vgl. dazu GAUCH/SCHLUEP, a.a.O., Band I, Rz. 1257) schwerlich in Einklang bringen. Daran ändert nichts, dass der Beschwerdeführer bereits ab Beginn des Vorsorgeverhältnisses auch für den Invaliditätsfall vollständigen Versicherungsschutz genossen haben mochte. Mit den nunmehr geforderten Fr. 19'193.--, entsprechend dem Betrag, den der Beschwerdeführer mit monatlichen Beiträgen sowie seiner einmaligen Einlage BGE 122 V 142 S. 151 vom 1. Dezember 1992 (Fr. 14'742.--) tatsächlich geleistet hatte, verhält es sich ähnlich. Diese im Hinblick auf die Steuerplanung getätigte Kapitaleinlage erfolgte - entgegen dem verabredeten üblichen Zahlungsmodus - aus freien Stücken des Beschwerdeführers. Dass für die Arbeitgeberin vorsorgerechtlich eine Verpflichtung zu analoger Leistung bestanden hätte, ist nicht ersichtlich und namentlich der Aufnahmebestätigung vom 9. April 1992 nicht zu entnehmen. Nachdem auch der Beschwerdeführer solches nicht dargetan hat, vermag er mit seinem Hauptantrag nicht durchzudringen.</w:t>
      </w:r>
    </w:p>
    <w:p>
      <w:r>
        <w:rPr>
          <w:b/>
        </w:rPr>
        <w:t>E. 8</w:t>
      </w:r>
    </w:p>
    <w:p>
      <w:r>
        <w:t>Zusammenfassend ergibt sich, dass die Klage im Umfang von Fr. 4'719.20 gutzuheissen ist, welchen Betrag die Beschwerdegegnerin seinerzeit - wenn auch ohne Anerkennung einer Rechtspflicht - zu leisten bereit gewesen wäre. Auf diesem Forderungsbetrag ist ab dem 30. Juni 1993 Verzugszins von 5% zuzusprechen (vgl. BGE 119 V 133 Erw. 4a mit Hinweisen). Für die davorliegende Zeit ist das Guthaben des Beschwerdeführers nach Massgabe des Reglements zu verzinsen (Art. 37 Ziff. 2).</w:t>
      </w:r>
    </w:p>
    <w:p>
      <w:r>
        <w:rPr>
          <w:b/>
        </w:rPr>
        <w:t>E. 9</w:t>
      </w:r>
    </w:p>
    <w:p>
      <w:r>
        <w:t>Der Beschwerdeführer macht die Zusprechung einer Parteientschädigung geltend. Nach der Praxis des Eidg. Versicherungsgerichts steht einem in eigener Sache prozessierenden Rechtsanwalt indes nur ausnahmsweise eine solche zu; vorliegend sind die Ausnahmebedingungen nicht erfüllt ( BGE 110 V 133 ff. Erw.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