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125</w:t>
      </w:r>
    </w:p>
    <w:p>
      <w:r>
        <w:t>Bundesgericht (BGE), 1996-03-25, DE</w:t>
      </w:r>
    </w:p>
    <w:p>
      <w:r>
        <w:rPr>
          <w:b/>
        </w:rPr>
        <w:t xml:space="preserve">Quelle: </w:t>
      </w:r>
      <w:r>
        <w:t>https://mcp.opencaselaw.ch/entscheid/bge_BGE_122_V_125</w:t>
      </w:r>
    </w:p>
    <w:p>
      <w:r>
        <w:t>FR: ATF 122 V 125</w:t>
      </w:r>
    </w:p>
    <w:p>
      <w:r>
        <w:t>IT: DTF 122 V 125</w:t>
      </w:r>
    </w:p>
    <w:p>
      <w:pPr>
        <w:pStyle w:val="Heading2"/>
      </w:pPr>
      <w:r>
        <w:t>Regeste</w:t>
      </w:r>
    </w:p>
    <w:p>
      <w:r>
        <w:t>Regeste Art. 34 Abs. 2 IVG. Für die Bestimmung des Unterhaltsbedarfs von Kindern sind die ungekürzten, von H. Winzeler in Zusammenarbeit mit dem Jugendamt des Kantons Zürich ermittelten Ansätze massgebend (Änderung der mit BGE 103 V 55 eingeleiteten Rechtsprechung).</w:t>
      </w:r>
    </w:p>
    <w:p>
      <w:r>
        <w:t>Regeste Art. 34 al. 2 LAI. Les dépenses nécessaires à l'entretien des enfants doivent être fixées sur la base des taux non réduits, définis par H. Winzeler en collaboration avec l'Office de la jeunesse du canton de Zurich (modification de la jurisprudence inaugurée avec l'arrêt ATF 103 V 55).</w:t>
      </w:r>
    </w:p>
    <w:p>
      <w:r>
        <w:t>Regesto Art. 34 cpv. 2 LAI. Per stabilire il fabbisogno alimentare dei figli sono determinanti i tassi non ridotti definiti da H. Winzeler in collaborazione con l'Ufficio della gioventù del Canton Zurigo (cambiamento della giurisprudenza introdotta con DTF 103 V 55).</w:t>
      </w:r>
    </w:p>
    <w:p>
      <w:pPr>
        <w:pStyle w:val="Heading2"/>
      </w:pPr>
      <w:r>
        <w:t>Erwägungen</w:t>
      </w:r>
    </w:p>
    <w:p>
      <w:r>
        <w:rPr>
          <w:b/>
        </w:rPr>
        <w:t>E. 1</w:t>
      </w:r>
    </w:p>
    <w:p>
      <w:r>
        <w:t>a) Rentenberechtigte Ehemänner, denen keine Ehepaar-Invalidenrente zusteht, haben Anspruch auf eine Zusatzrente für die Ehefrau ( Art. 34 Abs. 1 IVG ). Die geschiedene Frau ist der Ehefrau gleichgestellt, sofern sie für die ihr zugesprochenen Kinder überwiegend aufkommt und selbst keine Invalidenrente beanspruchen kann ( Art. 34 Abs. 2 IVG ). Praxisgemäss ist ein überwiegendes Aufkommen für den Unterhalt des Kindes dann anzunehmen, wenn die der getrennt lebenden oder geschiedenen Frau zufliessenden Unterhaltsleistungen für die Kinder (Kinderrenten allein oder zusammen mit Drittleistungen wie den Unterhaltsbeiträgen des geschiedenen Ehemannes) weniger als die Hälfte ihrer Unterhaltskosten ausmachen (ZAK 1985 S. 584 Erw. 2a in fine mit Hinweisen; bestätigt in den nicht publizierten Urteilen R. vom 12. Juni 1986 und V. vom 10. August 1987). b) Das Eidg. Versicherungsgericht hatte sich in den Siebzigerjahren im Zusammenhang mit der Beurteilung des Anspruchs auf Waisen- oder Kinderrenten für Pflegekinder ( Art. 49 AHVV ) verschiedentlich mit dem BGE 122 V 125 S. 127 Problem der Bestimmung des Unterhaltsbedarfs von Kindern zu befassen, sah jedoch zunächst davon ab, hiezu allgemeingültige Regeln aufzustellen (vgl. etwa BGE 98 V 254 Erw. 3; ZAK 1973 S. 574 Erw. 3, 1976 S. 90). In BGE 103 V 55 führte das Gericht dann eine einheitliche und schematische, in der ganzen Schweiz anwendbare Methode zur Festsetzung des Unterhaltsbedarfs von Kindern ein, indem es die von WINZELER (Die Bemessung der Unterhaltsbeiträge für Kinder, Diss. Zürich 1974) in Zusammenarbeit mit dem Jugendamt des Kantons Zürich ermittelten, um einen Viertel herabgesetzten Ansätze als massgebend erklärte; diese Beträge entsprächen in etwa den zum Unterhalt absolut notwendigen Auslagen. In der Folge wurden die betreffenden Ansätze in den Anhang IV der vom BSV herausgegebenen Wegleitung über die Renten (RWL) aufgenommen.</w:t>
      </w:r>
    </w:p>
    <w:p>
      <w:r>
        <w:rPr>
          <w:b/>
        </w:rPr>
        <w:t>E. 2</w:t>
      </w:r>
    </w:p>
    <w:p>
      <w:r>
        <w:t>Vorliegend ist streitig und zu prüfen, ob der Beschwerdegegner für die Zeit vom 1. Februar 1990 bis 31. Mai 1991 Anspruch auf eine Zusatzrente für seine geschiedene Ehefrau hat. Dies hängt davon ab, ob die Frau während des fraglichen Zeitraums überwiegend für die ihr zugesprochenen Kinder aufgekommen ist. a) Das kantonale Versicherungsgericht hat diese Frage abweichend von den in BGE 103 V 55 aufgestellten Regeln zur Bestimmung des Unterhaltsbedarfs von Kindern bejaht. Zwar sei diese Rechtsprechung insoweit zu begrüssen, als damit eine gesamtschweizerisch einheitliche Bemessungspraxis eingeführt worden sei. Hingegen lasse sich die Kürzung der von Winzeler in Zusammenarbeit mit dem Jugendamt des Kantons Zürich ermittelten Ansätze um einen Viertel angesichts der vom Institut für Wirtschafts- und Sozialwissenschaften der Universität Freiburg veröffentlichten Untersuchung über die Kosten von Kindern in der Schweiz (DEISS/GUILLAUME/LÜTHI, Kinderkosten in der Schweiz, Untersuchung über die Äquivalenzskalen der Einkommen, Universitätsverlag Freiburg 1988, Wirtschaftswissenschaftliche Beiträge, Bd. 36) nicht mehr rechtfertigen. Wie GULER (Die Bemessung von Unterhaltsbeiträgen der Kinder, in: Zeitschrift für Vormundschaftswesen 1990 S. 54 ff., 69) überzeugend dargelegt habe, weise die Freiburger Studie im Vergleich zu den Empfehlungen des Jugendamtes in den Bereichen Ernährung, Unterkunft und Nebenkosten einen nicht unerheblichen Mehrbedarf des Kindes aus. Besonders gross sei die Differenz bei den sogenannten Nebenkosten. Darunter seien namentlich Verkehrsausgaben, Ausgaben für die Körper- und Gesundheitspflege (inklusive Sport), Bildung und Erholung (inklusive Ferien), Arztselbstbehalt und Zahnarztkosten sowie das BGE 122 V 125 S. 128 Taschengeld zu verstehen; ferner Anteile an Energiekosten (ohne Heizung), Telefon, Radio und Fernsehen, Versicherungen (Krankenkasse, Unfallversicherung, Hausrats- und Haftpflichtversicherung), Wasch- und Putzmitteln und kleineren Haushaltanschaffungen. Nach GULER (a.a.O., S. 63) hätten sich die von Winzeler im Jahre 1974 "nur teilweise und äusserst zurückhaltend vorgenommenen Bewertungen dieser Posten ... in der Praxis der folgenden 15 Jahre als um die Hälfte zu niedrig erwiesen". Bei der Bestimmung des Unterhaltsbedarfs von Kindern seien deshalb neu wenigstens die ungekürzten Ansätze des Jugendamtes des Kantons Zürich zu berücksichtigen. Auf den vorliegenden Fall bezogen bedeute dies, dass die geschiedene Ehefrau des Beschwerdeführers im fraglichen Zeitraum für die ihr zugesprochenen Kinder überwiegend aufgekommen sei. b) Das BSV stellt sich demgegenüber auf den Standpunkt, es bestehe keine Veranlassung, von der bisherigen Rechtsprechung abzuweichen. Mit den in BGE 103 V 55 für massgeblich erklärten Ansätzen seien alle zum Unterhalt notwendigen Auslagen berücksichtigt, und es werde damit namentlich auch den Nebenauslagen hinreichend Rechnung getragen. Sodann sei darauf hinzuweisen, dass die Zahlen für die Jahre 1978, 1979, 1981 und 1984 vom Jugendamt des Kantons Zürich der Teuerung angepasst worden seien. Ferner habe das BSV die ab 1. Januar 1987 gültigen Werte auf einem Landesindex der Konsumentenpreise von 108,5 (Stand 31. Dezember 1985) ausgeglichen. Seit 1988 würden die Unterhaltsansätze jeweils zum gleichen Zeitpunkt und im selben Ausmass wie die Renten der Lohn- und Preisentwicklung angepasst. Den individuellen Verhältnissen werde durch eine Abstufung der Unterhaltsbeiträge nach Alter und Anzahl der Kinder Rechnung getragen.</w:t>
      </w:r>
    </w:p>
    <w:p>
      <w:r>
        <w:rPr>
          <w:b/>
        </w:rPr>
        <w:t>E. 3</w:t>
      </w:r>
    </w:p>
    <w:p>
      <w:r>
        <w:t>Die Bestimmung von Art. 34 Abs. 2 IVG setzt unter anderem voraus, dass die geschiedene Frau für die ihr zugesprochenen Kinder "überwiegend aufkommt". Bei der Formel des überwiegenden Aufkommens handelt es sich um einen unbestimmten Rechtsbegriff, welcher der wertenden Auslegung durch den Richter bedarf. Er knüpft am Begriff des (Kinder-)Unterhalts an, der seinerseits vielschichtig und in hohem Masse konkretisierungsbedürftig ist (zum Unterhaltsbegriff umfassend BREITSCHMID, System und Entwicklung des Unterhaltsrechts, AJP 1994 S. 838 ff.; HEGNAUER, Grundriss des Kindesrechts, 4. Aufl., Bern 1994, S. 146, N. 21.15). Das Eidg. Versicherungsgericht hat sich bei der Bestimmung des Kinderunterhalts - im Unterschied zur Unterhaltsbeitragsfestsetzung nach Art. 285 Abs. 1 ZGB (BGE BGE 122 V 125 S. 129 BGE 120 II 288 Erw. 3a und b, BGE 116 II 112 Erw. 3a und b; vgl. auch Botschaft über die Änderung des Schweizerischen Zivilgesetzbuches vom 15. November 1995, Separatausgabe, S. 161) - für eine einheitliche, besonderen Umständen nicht Rechnung tragende Tabellenlösung entschieden ( BGE 103 V 55 ; Erw. 1b hievor). Trotz der dagegen (HAFFTER, Der Unterhalt des Kindes als Aufgabe von Privatrecht und öffentlichem Recht, Diss. Zürich 1984, S. 157 ff.) und gegen die Ansätze des Jugendamtes des Kantons Zürich gerichteten Kritik (KELLER, Die Empfehlungen des Jugendamtes des Kantons Zürich zur Bemessung von Unterhaltsbeiträgen für Kinder, SJZ 1977 S. 181 ff.; KEHL, Die Kommerzialisierung der Ehe, SJZ 1981 S. 366; CURTY, A propos des "Recommandations" pour la fixation des contributions d'entretien des enfants éditées par l'Office de la jeunesse du canton de Zurich, Recherche d'une méthode de calcul, JdT 1985 I S. 322 ff.; zum Ganzen STETTLER, Schweizerisches Privatrecht, SPR III/2, S. 318 ff., insbes. S. 321 ff.), hat das Gericht an seiner Rechtsprechung festgehalten. Insbesondere gab es zu bedenken, dass eine Berücksichtigung der effektiven Unterhaltskosten eine Ungleichbehandlung zu Lasten von Eltern in bescheidenen wirtschaftlichen Verhältnissen zur Folge hätte (nicht publizierte Urteile K. vom 19. Juni 1978 und L. vom 12. Juni 1979). Im unveröffentlichten Urteil R. vom 12. Juni 1986 bestätigte das Gericht die schematische Betrachtungsweise und lehnte es dementsprechend ab, die Einkommenseinbusse einer geschiedenen Frau, welche auf eine Ausdehnung ihrer Erwerbstätigkeit verzichtete, um sich besser um ihr invalides Kind kümmern zu können, bei der Berechnung der Kinderunterhaltskosten in Anschlag zu bringen. Auch aus heutiger Sicht besteht keine Veranlassung, von der aus Gründen der Einheitlichkeit und Praktikabilität gewählten Tabellenlösung abzugehen. Hingegen fragt es sich, ob von einer Kürzung der Ansätze des Jugendamtes des Kantons Zürich um einen Viertel Umgang zu nehmen ist.</w:t>
      </w:r>
    </w:p>
    <w:p>
      <w:r>
        <w:rPr>
          <w:b/>
        </w:rPr>
        <w:t>E. 4</w:t>
      </w:r>
    </w:p>
    <w:p>
      <w:r>
        <w:t>Eine solche Abkehr von der mit BGE 103 V 55 eingeleiteten Rechtsprechung lässt sich gegenüber dem Postulat der Rechtssicherheit grundsätzlich nur begründen, wenn die neue Lösung besserer Erkenntnis der ratio legis, veränderten äusseren Verhältnissen oder gewandelten Rechtsanschauungen entspricht ( BGE 119 V 260 Erw. 4a, BGE 110 V 124 Erw. 2e, BGE 108 V 17 Erw. 3b, BGE 107 V 3 Erw. 2 und 82 Erw. 5a). a) Zur Thematik der Kinderkosten in der Schweiz sind nebst der erwähnten Freiburger Studie (Erw. 2a) in jüngerer Zeit verschiedene Fachpublikationen BGE 122 V 125 S. 130 erschienen, welche übereinstimmend zum Schluss gelangen, dass die (direkten und indirekten) Kosten, welche ein Kind einem alleinerziehenden Elternteil verursacht, gestiegen oder deutlich höher sind, als in der Vergangenheit angenommen (SPYCHER/BAUER/BAUMANN, Die Schweiz und ihre Kinder, Zürich 1995; vgl. ferner GILLIAND/CUÉNOUD, Politique familiale et budget social de la Suisse, Bern 1994; HÖPFLINGER/DEBRUNNER, Die unschätzbaren Leistungen der Familie, Überlegungen und Feststellungen, Bern 1994; SCHELLENBAUER/MERK, Bewertung der Haushalts-, Erziehungs- und Betreuungsarbeit, BIGA, Bern 1994). Ziel der von der Vorinstanz ins Feld geführten Freiburger Studie war es, sogenannte Äquivalenzskalen der Einkommen in der Schweiz zu ermitteln sowie die Kinderkosten zu schätzen. Als "Kinderkosten" werden sämtliche Ausgaben bezeichnet, welche durch die Präsenz eines Kindes im Haushalt verursacht werden. "Äquivalenzskalen" ihrerseits zeigen an, mit welchem Koeffizienten das Einkommen einer Einzelperson oder eines Paares ohne Kinder vervielfacht werden muss, um einer Familie mit Kindern den gleichen Lebensstandard zu gewähren. Der Studie lässt sich zwar nicht in Franken und Rappen entnehmen, wieviel ein Kind kostet; doch sind Rückschlüsse auf die Kinderkosten möglich. Diesbezüglich wird nachgewiesen, dass bei einem Referenzeinkommen eines Paares von Fr. 52'702.-- das erste Kind jährlich Fr. 12'972.-- (oder monatlich Fr. 1'081.--), das zweite Fr. 10'071.-- (oder monatlich Fr. 839.--) und das dritte Fr. 8'570.-- (oder monatlich Fr. 714.--) kostet. Dabei handelt es sich lediglich um die effektiven Haushaltsausgaben ohne den in natura geleisteten Aufwand an Pflege und Erziehung. Für die Einelternfamilie steigt der Äquivalenzaufwand für das erste Kind gar auf Fr. 15'156.-- pro Jahr oder Fr. 1'263.-- monatlich. In seiner eingehenden Würdigung der Freiburger Studie kommt GULER zum Schluss, dass die Rubriken "Nebenkosten" sowie "Pflege und Erziehung" der Empfehlungen des Jugendamtes des Kantons Zürich aufgrund der Ergebnisse der Studie klar zu niedrig angesetzt seien und die ermittelten Zahlen zu einem Neuüberdenken der Bemessungspraxis für Kinderalimente führen müssten (a.a.O., S. 62 und 65). Ob aufgrund dieser Studien Anlass für eine Praxisänderung im Sinne der Vorinstanz besteht, braucht mit Blick auf die nachstehenden Erwägungen zur ratio legis des Art. 34 Abs. 2 IVG nicht abschliessend beantwortet zu werden. b) Die Botschaft des Bundesrates zum Entwurf eines Bundesgesetzes über die Invalidenversicherung vom 24. Oktober 1958 sah keinen Anspruch des BGE 122 V 125 S. 131 invaliden geschiedenen Ehemannes auf eine Zusatzrente für die geschiedene Frau vor. Der Bundesrat stellte sich einer derartigen Rentenberechtigung ausdrücklich entgegen, indem er folgendes ausführte: "Die Festsetzung einer solchen Rente nach dem von der Frau erlittenen Versorgerschaden - wie dies in der Alters- und Hinterlassenenversicherung geschieht - würde speziell in den Fällen, in denen die Scheidung nach der Invalidierung erfolgt und der geschiedene Ehemann nicht zu Unterhaltsbeiträgen verpflichtet wird, ausserordentlichen Schwierigkeiten begegnen". Zudem müsste die Rente, um eine wirksame Hilfe für die geschiedene Frau darzustellen, dieser selbst ausgerichtet werden, was dem Charakter der Angehörigenrente als einer Zusatzrente für den Invaliden widerspreche (Separatausgabe S. 65). In der vorberatenden Kommission des Nationalrates wurde dann aber einem Antrag Huber auf Einführung eines Art. 34 Abs. 2 IVG zugestimmt. Nach dieser Fassung sollte der getrennt lebenden oder geschiedenen Frau eines rentenberechtigten Mannes ein Anspruch auf Zusatzrente zustehen, soweit dies "im Interesse der ihr zugesprochenen Kinder notwendig ist" oder sie selbst nicht voll erwerbsfähig ist. Nationalrat Huber begründete seinen Antrag im wesentlichen wie folgt: "Auch für die geschiedene Frau rechtfertigt sich die Zusatzrente; sonst hätte sie trotz gleichbleibender Familienlasten keine Versicherungsleistungen. Erfolgt nämlich die Scheidung nach der Invalidierung, so würde die bisher gewährte Zusatzrente vom Zeitpunkt der Scheidung hinweg plötzlich gestrichen. Dies widerspräche aber dem Gedanken des Familienschutzes; denn die Zusatzrenten für die Kinder genügen für den Unterhalt der Kinder nicht." (Protokoll der Kommission des Nationalrates, Sitzung vom 19.-22. November 1958, S. 115 ff.). In der Folge kam die nationalrätliche Kommission auf Antrag das Eidg. Departementes des Innern auf ihren Beschluss zurück und stimmte einer abgeänderten Formulierung zu, die dem Text des heutigen Art. 34 Abs. 2 IVG entspricht. In der Kommissionsberatung hielt der Vertreter der Verwaltung (Dr. Naef) fest, der Rückkommensantrag belasse "den Kern des erwähnten Antrages Huber", weiche aber insofern in drei wesentlichen Punkten von ihm ab, als die getrennt lebende Ehefrau nicht mehr erwähnt, die Gewährung eines eigenen Rentenanspruchs der geschiedenen Frau fallengelassen und das Kriterium der beschränkten Erwerbsfähigkeit aufgegeben werde (Protokoll der Kommission des Nationalrates, Sitzung vom 27.-29. Januar 1959, S. 157 ff.). Der Begriff des überwiegenden Aufkommens und die damit verbundene Frage, wie die Unterhaltskosten der Kinder zu bestimmen sind, blieb in den Räten BGE 122 V 125 S. 132 unerörtert. Immerhin aber lässt sich festhalten, dass die soziale Zweckbestimmung der Zusatzrente gemäss Art. 34 Abs. 2 IVG in der Bestreitung des Unterhalts der für ihr Kind sorgenden geschiedenen Frau ( BGE 103 V 98 Erw. 2) liegt. Daran ändert nichts, dass es sich bei der fraglichen Zusatzrente für die Frau um einen Anspruch des geschiedenen invaliden Mannes handelt, dem damit grundsätzlich seine Unterhaltspflicht gegenüber den Unterhaltsberechtigten erleichtert wird ( BGE 113 III 84 Erw. 2b). Denn die wirtschaftliche Leistungsfähigkeit des geschiedenen Mannes liegt im klaren Interesse der für die Kinder sorgenden geschiedenen Frau und damit auch im Interesse der Kinder. c) Nach den in BGE 103 V 55 aufgestellten Bemessungsregeln entfällt der Anspruch des Mannes auf eine Zusatzrente für die geschiedene Frau dann, wenn die ihr zufliessenden Unterhaltsleistungen für die Kinder (Kinderrente allein oder zusammen mit Drittleistungen wie den Unterhaltsbeiträgen des geschiedenen Ehemannes) die Hälfte der Ansätze des Jugendamtes des Kantons Zürich (bzw. des Anhangs IV der RWL) - reduziert um einen Viertel - erreichen. Laut diesen Ansätzen sind die Kosten bei einem 17jährigen oder älteren Einzelkind am höchsten; für die Jahre 1990/91 wurden sie auf Fr. 935.-- pro Monat veranschlagt. Bei einem von zwei Kindern liegen die betreffenden Ansätze zwischen Fr. 642.-- und Fr. 789.--, und bei einem von drei Kindern zwischen Fr. 580.-- und Fr. 709.--. Die geringsten Kosten verursacht eines von vier oder mehr Kindern unter 7 Jahren, dessen Unterhaltsbedarf sich im entsprechenden Zeitraum auf Fr. 536.-- pro Monat belief (Anhang IV der RWL). Die Kinderrenten der Invalidenversicherung (ganze Vollrenten gemäss Rentenskala 44) bewegten sich in den Jahren 1990/91 je nach Höhe des massgebenden durchschnittlichen Jahreseinkommens zwischen Fr. 320.-- und Fr. 640.--. Ein Vergleich dieser Rentenbeträge mit den massgeblichen Unterhaltsansätzen macht deutlich, dass ein überwiegendes Aufkommen der geschiedenen Ehefrau praktisch ausgeschlossen ist, wenn sie mehrere ihr zugesprochene Kinder hat und ganze Kinderrenten bezieht, da die Praxis diesfalls nicht von einem proportionalen Anstieg des Unterhaltsbedarfs ausgeht. Es kann sogar vorkommen, dass die Kinderrenten höher ausfallen als der für massgeblich erklärte Bedarf (vgl. dazu REBER, Scheidungsrecht und Sozialversicherung, SJZ 1983 S. 97). Führt aber die Konkretisierung des unbestimmten Rechtsbegriffs des überwiegenden Aufkommens nach den erwähnten Bemessungsregeln im Ergebnis dazu, dass ganze BGE 122 V 125 S. 133 Kategorien von geschiedenen Männern vom gesetzlichen Anspruch auf eine Zusatzrente für ihre geschiedene Frau ausgeschlossen werden - welche Rente letztlich den der Frau zugesprochenen Kindern zugute kommen soll - so widerspricht dies Sinn und Zweck von Art. 34 Abs. 2 IVG und lässt sich mit der Regelungsabsicht und den Wertvorstellungen des Sozialversicherungsgesetzgebers (Erw. 4b) nicht vereinbaren. Es rechtfertigt sich daher, nicht mehr die um einen Viertel reduzierten, sondern die ungekürzten Ansätze als massgebend zu erachten, weshalb der Vorinstanz im Ergebnis beizupflichten ist.</w:t>
      </w:r>
    </w:p>
    <w:p>
      <w:r>
        <w:rPr>
          <w:b/>
        </w:rPr>
        <w:t>E. 5</w:t>
      </w:r>
    </w:p>
    <w:p>
      <w:r>
        <w:t>Der Unterhaltsbedarf der beiden der Mutter zugesprochenen Kinder im fraglichen Zeitraum (1990/91) beläuft sich nach den massgeblichen ungekürzten Ansätzen auf je Fr. 856.-- pro Monat. Der geschiedenen Frau des Beschwerdeführers flossen aber lediglich Unterhaltsleistungen von Fr. 400.-- pro Kind und Monat zu. Dementsprechend kam die geschiedene Frau überwiegend im Sinne von Art. 34 Abs. 2 IVG für die ihr zugesprochenen Kinder auf. Der Beschwerdeführer hat demnach für die Zeit vom 1. Februar 1990 bis 31. Mai 1991 Anspruch auf Ausrichtung einer Zusatzrente für seine geschiedene Frau. Der vorinstanzliche Entscheid besteht damit zu Recht.</w:t>
      </w:r>
    </w:p>
    <w:p>
      <w:r>
        <w:rPr>
          <w:b/>
        </w:rPr>
        <w:t>E. 6</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