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93</w:t>
      </w:r>
    </w:p>
    <w:p>
      <w:r>
        <w:t>Bundesgericht (BGE), 1996-01-01, DE</w:t>
      </w:r>
    </w:p>
    <w:p>
      <w:r>
        <w:rPr>
          <w:b/>
        </w:rPr>
        <w:t xml:space="preserve">Quelle: </w:t>
      </w:r>
      <w:r>
        <w:t>https://mcp.opencaselaw.ch/entscheid/bge_BGE_122_I_93</w:t>
      </w:r>
    </w:p>
    <w:p>
      <w:r>
        <w:t>FR: ATF 122 I 93</w:t>
      </w:r>
    </w:p>
    <w:p>
      <w:r>
        <w:t>IT: DTF 122 I 93</w:t>
      </w:r>
    </w:p>
    <w:p>
      <w:pPr>
        <w:pStyle w:val="Heading2"/>
      </w:pPr>
      <w:r>
        <w:t>Regeste</w:t>
      </w:r>
    </w:p>
    <w:p>
      <w:r>
        <w:t>Regeste Art. 116 BV und 37 Abs. 3 OG. Sprache des Bundesgerichtsurteils. Ein Urteil des Bundesgerichts in einer Beschwerde einer romanischen Gemeinde oder Person gegen den Entscheid einer Instanz des Kantons Graubünden ist auf Rumantsch Grischun zu verfassen. Art. 116 CF e 37 al. 3 OG. Linguatg da la sentenzia dal Tribunal federal. La sentenzia dal Tribunal federal en in recurs d'ina vischnanca u persuna rumantscha cunter ina decisiun d'ina instanza dal chantun Grischun è da rediger en rumantsch grischun.</w:t>
      </w:r>
    </w:p>
    <w:p>
      <w:r>
        <w:t>Regeste Art. 116 Cst. et 37 al. 3 OJ. Langue de l'arrêt du Tribunal fédéral. Lorsque le Tribunal fédéral statue sur un recours formé par une commune ou une personne de langue romanche contre une décision rendue par une autorité du canton des Grisons, son arrêt est rédigé en romanche (rumantsch grischun).</w:t>
      </w:r>
    </w:p>
    <w:p>
      <w:r>
        <w:t>Regesto Art. 116 Cost. e 37 cpv. 3 OG. Lingua della sentenza del Tribunale federale. La sentenza del Tribunale federale nell'ambito di un ricorso di un comune o di una persona di lingua romancia diretto contro una decisione resa da un'autorità del Cantone dei Grigioni dev'essere redatta in rumantsch grischun.</w:t>
      </w:r>
    </w:p>
    <w:p>
      <w:pPr>
        <w:pStyle w:val="Heading2"/>
      </w:pPr>
      <w:r>
        <w:t>Erwägungen</w:t>
      </w:r>
    </w:p>
    <w:p>
      <w:r>
        <w:rPr>
          <w:b/>
        </w:rPr>
        <w:t>E. 1</w:t>
      </w:r>
    </w:p>
    <w:p>
      <w:r>
        <w:t>Der angefochtene Entscheid ist romanisch und deutsch redigiert. Die Beschwerde ist romanisch abgefasst. Nach Art. 30 Abs. 1 des Bundesrechtspflegegesetzes (OG) sind sämtliche Rechtsschriften für das Bundesgericht in einer Nationalsprache abzufassen. Das Urteil des Bundesgerichts wird in einer Amtssprache, in der Regel in der Sprache des angefochtenen Entscheides verfasst; sprechen die Parteien eine andere Amtssprache, so kann die Ausfertigung in dieser Sprache erfolgen ( Art. 37 Abs. 3 OG ). Eine rätoromanische Person konnte sich somit aufgrund dieser Bestimmungen zwar in ihrer Sprache an das Bundesgericht wenden, hatte jedoch, da das Romanische nicht Amtssprache des Bundes war, keinen Anspruch auf einen Entscheid auf Romanisch (vgl. GIUSEP NAY, La posiziun dal rumantsch sco linguatg uffizial, Gesetzgebung heute, 1991/1, S. 15 ff. mit deutscher Übersetzung S. 25 ff.). Mit der Annahme des revidierten Art. 116 der Bundesverfassung (BV) am 10. März 1996 wurde das Rätoromanische indessen im Verkehr mit Personen rätoromanischer Sprache Amtssprache des Bundes (Abs. 4). Auch wenn diese Verfassungsbestimmung vorsieht, dass das Gesetz die Einzelheiten regelt, kann sie in den klaren Fällen, auch bevor das Gesetz erlassen ist, unmittelbar Anwendung finden. Ein Urteil des Bundesgerichts in einer Beschwerde einer romanischen Gemeinde oder Person gegen den Entscheid einer Instanz des Kantons BGE 122 I 93 S. 96 Graubünden, wo das Romanische Amtssprache ist (Art. 46 der Kantonsverfassung [KV]; NAY, S. 10 bzw. 16 ff.), stellt zweifellos einen Verkehr zwischen dem Bund und rätoromanischen Personen dar, für den das Romanische gemäss Art. 116 Abs. 4 BV als Amtssprache gilt. Das vorliegende Urteil ist daher in Anwendung dieser Vorschrift und von Art. 37 Abs. 3 OG romanisch zu verfassen. Dabei ist von der Einheitssprache Rumantsch Grischun Gebrauch zu machen, deren sich auch der Bund im Einvernehmen mit der Bündner Regierung für die Übersetzung von Erlassen bedient (Art. 14 Abs. 3 Publikationsgesetz [SR 170.512], Art. 11 Publikationsverordnung [SR 170.512.1] und Art. 8 der Richtlinien des Bundesrates für die Übersetzungstätigkeit des Bundes ins Romanische).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