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90</w:t>
      </w:r>
    </w:p>
    <w:p>
      <w:r>
        <w:t>Bundesgericht (BGE), 1995-01-01, FR</w:t>
      </w:r>
    </w:p>
    <w:p>
      <w:r>
        <w:rPr>
          <w:b/>
        </w:rPr>
        <w:t xml:space="preserve">Quelle: </w:t>
      </w:r>
      <w:r>
        <w:t>https://mcp.opencaselaw.ch/entscheid/bge_BGE_122_I_90</w:t>
      </w:r>
    </w:p>
    <w:p>
      <w:r>
        <w:t>FR: ATF 122 I 90</w:t>
      </w:r>
    </w:p>
    <w:p>
      <w:r>
        <w:t>IT: DTF 122 I 90</w:t>
      </w:r>
    </w:p>
    <w:p>
      <w:pPr>
        <w:pStyle w:val="Heading2"/>
      </w:pPr>
      <w:r>
        <w:t>Regeste</w:t>
      </w:r>
    </w:p>
    <w:p>
      <w:r>
        <w:t>Regeste Art. 88 OG; Legitimation zur Verbandsbeschwerde. Voraussetzungen der Verbandsbeschwerde. Die vom Beschwerdeführer vertretenen Interessen legitimieren ihn nicht zur Verbandsbeschwerde, da die angefochtenen kantonalen Bestimmungen keine Anwendung finden auf Personal, dessen Schutz abschliessend durch das Arbeitsgesetz sichergestellt ist (E. 2c).</w:t>
      </w:r>
    </w:p>
    <w:p>
      <w:r>
        <w:t>Regeste Art. 88 OJ; qualité pour recourir d'une association. Rappel des principes généraux. Les intérêts que représente le recourant ne peuvent pas fonder la qualité pour recourir au sens de l'art. 88 OJ, car les prescriptions cantonales entreprises - concernant les heures de fermeture des magasins - ne s'appliquent pas au personnel dont la protection est assurée exhaustivement par la loi sur le travail (consid. 2c).</w:t>
      </w:r>
    </w:p>
    <w:p>
      <w:r>
        <w:t>Regesto Art. 88 OG; legittimazione di un'associazione. Riassunto della giurisprudenza. Gli interessi difesi dalla ricorrente non la legittimano a ricorrere a norma dell'art. 88 OG, in quanto le prescrizioni cantonali adottate -concernenti le ore di chiusura dei negozi - non si applicano al personale che è protetto, in modo esaustivo, dalla legge sul lavoro (consid. 2c).</w:t>
      </w:r>
    </w:p>
    <w:p>
      <w:pPr>
        <w:pStyle w:val="Heading2"/>
      </w:pPr>
      <w:r>
        <w:t>Erwägungen</w:t>
      </w:r>
    </w:p>
    <w:p>
      <w:r>
        <w:rPr>
          <w:b/>
        </w:rPr>
        <w:t>E. 2</w:t>
      </w:r>
    </w:p>
    <w:p>
      <w:r>
        <w:t>a) Aux termes de l' art. 88 OJ , le recours de droit public est ouvert aux particuliers et aux collectivités lésés par des arrêtés ou décisions qui les concernent personnellement ou qui sont de portée générale. Lorsque le recours est dirigé contre un arrêté de portée générale, la qualité pour recourir appartient à toute personne dont les intérêts juridiquement protégés sont effectivement touchés par l'acte attaqué ou pourront l'être un jour; une simple atteinte virtuelle suffit, pourvu qu'il y ait un minimum de vraisemblance que le recourant puisse un jour se voir appliquer les dispositions prétendument inconstitutionnelles ( ATF 121 I 314 consid. 3a p. 316; ATF 119 Ia 321 consid. 2b p. 324). b) Les exigences susmentionnées, relatives à la qualité pour recourir, sont valables en particulier pour celui qui invoque le principe de la séparation des pouvoirs qui, en l'espèce, est le principal motif de recours ( ATF 112 Ia 136 consid. 2b p. 138 et la jurisprudence citée). En outre, le moyen tiré de l'interprétation arbitraire de la loi n'a pas de portée indépendante par rapport au grief relatif à la séparation des pouvoirs; il en va de même du moyen tiré d'une prétendue violation de la liberté personnelle qui est uniquement fondé sur le manque de base légale suffisante. c) Une association peut agir par la voie du recours de droit public en vue de sauvegarder les intérêts de ses membres, quand bien même elle n'est pas elle-même touchée par l'acte entrepris. Il faut notamment qu'elle ait la personnalité juridique et que la défense des intérêts de ses membres figure parmi ses buts statutaires. En outre, ses membres doivent être personnellement touchés par l'acte litigieux, du moins en majorité ou en grand nombre ( ATF 119 Ia 197 consid. 1c p. 201; ATF 114 Ia 452 consid. 1d p. 456). D'après ses statuts du 28 janvier 1993 (ci-après: les statuts), le Syndicat est une association constituée conformément aux art. 60 ss CC (art. 1er al. 2 des statuts) qui a pour but en particulier la défense (individuelle et collective) de ses membres sur le plan professionnel et dans tous les domaines d'ordre social (art. 4 lettre a des statuts). BGE 122 I 90 S. 93 Selon la jurisprudence, les prescriptions cantonales et communales relatives à la fermeture des magasins ne peuvent plus tendre, à l'heure actuelle, qu'au respect du repos nocturne et dominical ainsi qu'à la protection, le cas échéant, des personnes qui ne sont pas soumises à la loi fédérale du 13 mars 1964 sur le travail dans l'industrie, l'artisanat et le commerce (loi sur le travail; LTr; RS 822.11), comme les propriétaires de magasins, les membres de leur famille et les employés supérieurs. La protection du personnel est réglée de façon exhaustive par la loi sur le travail ( ATF 101 Ia 484 consid. 7a p. 486; ATF 97 I 499 consid. 3a et 3b p. 503 ainsi que 5b p. 507; arrêt non publié du 29 juin 1992 en la cause M. contre VS, Tribunal administratif et Conseil d'Etat ainsi que commune de Viège, consid. 2a; cf. également ATF 119 Ia 374 consid. 2b p. 378). Les intérêts personnels que représente le recourant peuvent, quoi qu'il en soit, jouer un rôle politique et de fait dans l'édiction de dispositions cantonales sur la fermeture des magasins; mais, vu ce qui a été dit ci-dessus, ils ne peuvent pas fonder la qualité pour recourir au sens de l' art. 88 OJ . Depuis qu'existe la loi sur le travail, l'employé n'a plus d'intérêt juridiquement protégé à l'adoption de prescriptions cantonales sur les heures de fermeture des magasins, le soir. Ainsi, le Syndicat n'a pas qualité pour recourir en invoquant le principe de la séparation des pouvoirs. Il en va de même en ce qui concerne ses autres griefs qui sont en rapport étroit avec le moyen susmentionné.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