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156</w:t>
      </w:r>
    </w:p>
    <w:p>
      <w:r>
        <w:t>Bundesgericht (BGE), 1996-01-01, FR</w:t>
      </w:r>
    </w:p>
    <w:p>
      <w:r>
        <w:rPr>
          <w:b/>
        </w:rPr>
        <w:t xml:space="preserve">Quelle: </w:t>
      </w:r>
      <w:r>
        <w:t>https://mcp.opencaselaw.ch/entscheid/bge_BGE_122_IV_156</w:t>
      </w:r>
    </w:p>
    <w:p>
      <w:r>
        <w:t>FR: ATF 122 IV 156</w:t>
      </w:r>
    </w:p>
    <w:p>
      <w:r>
        <w:t>IT: DTF 122 IV 156</w:t>
      </w:r>
    </w:p>
    <w:p>
      <w:pPr>
        <w:pStyle w:val="Heading2"/>
      </w:pPr>
      <w:r>
        <w:t>Regeste</w:t>
      </w:r>
    </w:p>
    <w:p>
      <w:r>
        <w:t>Regeste Art. 172ter StGB; geringfügige Vermögensdelikte. Entscheidend ist die Absicht des Täters und nicht der eingetretene Erfolg. Deshalb ist Art. 172ter StGB nur anwendbar, wenn der Täter von vornherein bloss einen geringen Vermögenswert oder einen geringen Schaden im Auge hatte (E. 2a). Art. 41 Ziff. 3 StGB; Widerruf des bedingten Strafvollzugs. Spricht der Richter eine Gefängnisstrafe in der Grössenordnung von sieben Monaten aus für ein Verbrechen oder Vergehen, das während der Probezeit eines bedingten Strafvollzugs begangen wurde, so muss er diesen widerrufen, weil die neuerliche Verfehlung nicht als leichter Fall angesehen werden kann (E. 3c).</w:t>
      </w:r>
    </w:p>
    <w:p>
      <w:r>
        <w:t>Regeste Art. 172ter CP; infractions d'importance mineure. C'est l'intention de l'auteur qui est déterminante et non le résultat obtenu. Par conséquent, l'art. 172ter CP n'est applicable que si l'auteur n'avait d'emblée en vue qu'un élément patrimonial de faible valeur ou un dommage de moindre importance (consid. 2a). Art. 41 ch. 3 CP; révocation du sursis. Le juge qui prononce une peine de l'ordre de sept mois d'emprisonnement pour un crime ou un délit commis pendant le délai d'épreuve d'un sursis ne peut renoncer à révoquer celui-ci, la nouvelle infraction sanctionnée par une telle peine ne pouvant pas être considérée comme un cas de peu de gravité (consid. 3c).</w:t>
      </w:r>
    </w:p>
    <w:p>
      <w:r>
        <w:t>Regesto Art. 172ter CP; reati di poca entità. Determinante non è il risultato ottenuto, bensì l'intenzione dell'autore. Di conseguenza, l'art. 172ter CP è applicabile solo qualora l'autore mirava fin dall'inizio soltanto ad un valore patrimoniale di poco valore o ad un danno di lieve entità (consid. 2a). Art. 41 n. 3 CP; revoca della sospensione condizionale della pena. Qualora il giudice pronunci una pena di sette mesi di detenzione per un crimine o un delitto commesso durante il periodo di prova prescritto con una precedente sospensione condizionale, quest'ultima va revocata poiché la nuova infrazione non può essere considerata un caso di lieve gravità (consid. 3c).</w:t>
      </w:r>
    </w:p>
    <w:p>
      <w:pPr>
        <w:pStyle w:val="Heading2"/>
      </w:pPr>
      <w:r>
        <w:t>Erwägungen</w:t>
      </w:r>
    </w:p>
    <w:p>
      <w:r>
        <w:rPr>
          <w:b/>
        </w:rPr>
        <w:t>E. 1</w:t>
      </w:r>
    </w:p>
    <w:p>
      <w:r>
        <w:t>(Recevabilité).</w:t>
      </w:r>
    </w:p>
    <w:p>
      <w:r>
        <w:rPr>
          <w:b/>
        </w:rPr>
        <w:t>E. 2</w:t>
      </w:r>
    </w:p>
    <w:p>
      <w:r>
        <w:t>a) Le recourant soutient que les vols qui lui sont reprochés auraient dû être qualifiés d'infraction d'importance mineure au sens du nouvel art. 172ter CP . Pour l'ensemble des infractions contre le patrimoine, l' art. 172ter al. 1 CP prévoit que "si l'acte ne visait qu'un élément patrimonial de faible valeur ou un dommage de moindre importance, l'auteur sera, sur plainte, puni des arrêts ou de l'amende". L'alinéa 2 de cet article précise toutefois que cette disposition n'est pas applicable au vol qualifié (art. 139 ch. 2 et 3), au brigandage ainsi qu'à l'extorsion et au chantage. La jurisprudence a admis qu'un élément patrimonial est de faible valeur s'il ne vaut pas plus de 300 fr. ( ATF 121 IV 261 consid. 2d). La valeur d'une chose doit être déterminée objectivement ( ATF 121 IV 261 consid. 2c). L' art. 172ter al. 1 CP ne parle pas d'un acte portant sur un élément patrimonial de faible valeur, mais d'un acte visant un élément patrimonial de faible valeur. Dans cette acception, viser signifie "avoir en vue, s'efforcer d'atteindre (un résultat)" (Le Grand Robert, tome IX, Paris 1985 p. 767). Le terme choisi montre qu'il faut s'attacher au but poursuivi. S'il est vrai que le texte italien est moins expressif ("se il reato concerne soltanto un elemento patrimoniale di poco valore o un danno di lieve entita..."), la version allemande va dans le même sens ("richtet sich die Tat nur auf einen geringen Vermögenswert oder auf einen geringen Schaden"). L'interprétation littérale est confirmée par le caractère subjectif du droit pénal moderne qui voue davantage d'importance à la faute de l'auteur, en particulier à ce qu'il avait en vue, plutôt qu'au résultat involontaire de son action. Les travaux préparatoires ne laissent planer à ce sujet aucun doute. En effet, dans le message du Conseil fédéral, on peut lire: "En outre, l' art. 172ter CP exige que l'acte punissable et, partant, l'intention de l'auteur, ne vise dès le départ qu'un élément patrimonial de faible valeur ou un dommage de moindre importance. Cette disposition ne saurait s'appliquer, par exemple, au délinquant dont le comportement délictueux indique qu'il souhaitait s'attaquer à des valeurs patrimoniales importantes, mais qui, pour un motif quelconque, n'a finalement porté atteinte qu'à un élément de faible valeur." (FF 1991 II 1048) BGE 122 IV 156 S. 160 La doctrine a également pris position clairement dans ce sens, considérant que les représentations subjectives de l'auteur étaient décisives (STRATENWERTH, Bes. Teil I, 5e éd., p. 455 no 17; REHBERG/SCHMID, Strafrecht III, 6e éd., p. 65 s.; NIKLAUS SCHMID, Das neue Vermögens- und Urkundenstrafrecht, RSJ 91 (1995) p. 3; ERIC STAUFFACHER, Infractions contre le patrimoine: le nouveau droit, RPS 114 (1996) p. 31; voir également, à propos du larcin prévu par l'ancien droit: SCHUBARTH, Kommentar, Bes. Teil II, n. 12 ad art. 138). En conséquence, ce n'est pas le résultat concret de l'acte qui est déterminant, mais bien ce que l'auteur voulait ou acceptait. L' art. 172ter al. 1 CP est réservé aux hypothèses où l'auteur n'avait en vue qu'un élément patrimonial de faible valeur ou un dommage de moindre importance. Seul le dol de l'auteur détermine si l'infraction est d'importance mineure. b) Déterminer ce que l'auteur sait, veut ou l'éventualité à laquelle il consent relève des constatations de fait qui lient la Cour de cassation saisie d'un pourvoi en nullité ( ATF 121 IV 90 consid. 2b, ATF 119 IV 1 consid. 5a, 242 consid. 2c, 309 consid. 7b, ATF 116 IV 143 consid. 2c). En l'espèce, il a été constaté que le recourant voulait, lors de chaque soustraction, se procurer de l'argent pour acquérir des stupéfiants. Certes, sa manière de procéder ne lui permettait pas d'espérer obtenir des valeurs importantes, mais la question n'est pas là. A chaque fois, il souhaitait obtenir le plus d'argent possible. Son dol n'était donc pas limité à un élément patrimonial de faible valeur, ce qui exclut l'application de l' art. 172ter al. 1 CP . Sur la base des représentations subjectives du recourant - telles qu'elles ont été retenues d'une manière qui lie la Cour de cassation -, la cour cantonale n'a pas violé le droit fédéral en écartant l'application de l' art. 172ter CP .</w:t>
      </w:r>
    </w:p>
    <w:p>
      <w:r>
        <w:rPr>
          <w:b/>
        </w:rPr>
        <w:t>E. 3</w:t>
      </w:r>
    </w:p>
    <w:p>
      <w:r>
        <w:t>a) Les autres griefs du recourant reposaient principalement sur l'idée que l' art. 172ter al. 1 CP serait retenu. Comme tel n'est pas le cas, ils ont perdu l'essentiel de leur fondement. b) Avec une argumentation brève et nettement appellatoire, le recourant soutient que la peine qui lui a été infligée est de toute manière excessive.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la Cour de cassation BGE 122 IV 156 S. 161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121 IV 3 consid. 1a, 193 consid. 2a, ATF 120 IV 136 consid. 3a). Les éléments pertinents pour la fixation de la peine ont été exposés de manière détaillée dans les ATF 117 IV 112 consid. 1 et ATF 116 IV 288 consid. 2a, auxquels il suffit de se référer. En l'espèce, il n'est pas contesté que la peine a été fixée dans le cadre légal, en suivant les critères posés par l' art. 63 CP et sans se laisser guider par des considérations étrangères à cette disposition. Le recourant ne peut d'ailleurs citer aucun élément pertinent, propre à modifier la quotité de la peine, qui aurait été omis, pas plus qu'il ne peut citer un élément inadmissible qui aurait été pris en considération à tort. Au vu des faits retenus - qui lient la Cour de cassation -, la peine infligée est certes sévère, comme le relève la cour cantonale, mais on ne voit pas qu'elle constitue un abus du large pouvoir d'appréciation appartenant au juge de répression. En conséquence, la peine a été fixée sans violer le droit fédéral. c) Le recourant se plaint enfin de la révocation du sursis à l'expulsion. Il n'est pas contesté que le recourant a commis un crime ou un délit pendant le délai d'épreuve, de sorte que la révocation du sursis devait en principe être ordonnée ( art. 41 ch. 3 al. 1 CP ). Il est vrai que le juge peut renoncer à révoquer un sursis dans les cas de peu de gravité si des motifs permettent d'envisager l'amendement du condamné ( art. 41 ch. 3 al. 2 CP ). Cette faculté suppose cependant qu'il s'agisse d'un cas de peu de gravité. Pour trancher cette question, il faut examiner la faute du condamné, qui se traduit normalement dans la quotité de la peine; en conséquence, la jurisprudence attache une importance prépondérante à la question de savoir si l'infraction commise pendant le délai d'épreuve est réprimée ou non par une peine dépassant trois mois de privation de liberté; certes, la jurisprudence n'a pas voulu fixer une règle rigide, mais on ne peut s'en écarter, par une analyse des circonstances concrètes, que si la peine se trouve aux alentours de cette BGE 122 IV 156 S. 162 limite ( ATF 117 IV 97 consid. 3c/cc et dd). Comme les nouvelles infractions ont conduit en l'espèce, sans violer le droit fédéral, à une peine de l'ordre de sept mois d'emprisonnement, il est suffisamment démontré que le cas n'est pas de peu de gravité au sens de l' art. 41 ch. 3 al. 2 CP , de sorte que la révocation du sursis devait être ordonnée ( art. 41 ch. 3 al. 1 CP ).</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