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455</w:t>
      </w:r>
    </w:p>
    <w:p>
      <w:r>
        <w:t>Bundesgericht (BGE), 1996-01-01, DE</w:t>
      </w:r>
    </w:p>
    <w:p>
      <w:r>
        <w:rPr>
          <w:b/>
        </w:rPr>
        <w:t xml:space="preserve">Quelle: </w:t>
      </w:r>
      <w:r>
        <w:t>https://mcp.opencaselaw.ch/entscheid/bge_BGE_122_II_455</w:t>
      </w:r>
    </w:p>
    <w:p>
      <w:r>
        <w:t>FR: ATF 122 II 455</w:t>
      </w:r>
    </w:p>
    <w:p>
      <w:r>
        <w:t>IT: DTF 122 II 455</w:t>
      </w:r>
    </w:p>
    <w:p>
      <w:pPr>
        <w:pStyle w:val="Heading2"/>
      </w:pPr>
      <w:r>
        <w:t>Regeste</w:t>
      </w:r>
    </w:p>
    <w:p>
      <w:r>
        <w:t>Regeste Art. 5 RPG; materielle Enteignung (Nichteinzonung). Mögliche Entschädigungstatbestände bei Nichteinzonungen: massgebend ist, ob der Eigentümer seine Liegenschaft aus eigener Kraft in naher Zukunft hätte überbauen können; der Umstand, dass eine Parzelle für sich betrachtet erschlossen ist und der Eigentümer dafür Aufwendungen tätigte, führt nicht zwingend zu einer materiellen Enteignung; Pflicht zur Würdigung aller rechtlichen und tatsächlichen Gegebenheiten (E. 4 und 5a). Erschliessung und Baureife: Bedeutung der gewässerschutzrechtlichen Planung (GKP); Bejahung der Quartierplanpflicht auch in Würdigung der Parzellenlage (E. 5b-e). Hier kein weitgehend überbautes Gebiet (E. 6a). Vorliegen besonderer Gründe des Vertrauensschutzes verneint (E. 6b).</w:t>
      </w:r>
    </w:p>
    <w:p>
      <w:r>
        <w:t>Regeste Art. 5 LAT; expropriation matérielle (refus de classer). Éléments de fait pouvant entrer en considération pour l'octroi d'une indemnité en cas de refus de classer. Le critère décisif est celui-ci: le propriétaire aurait-il pu, par ses propres moyens, construire sur son terrain dans un futur proche. Le fait qu'une parcelle puisse en soi être considérée comme équipée et que son propriétaire ait dépensé de l'argent à cet effet, n'a pas nécessairement pour conséquence une expropriation matérielle. Obligation d'apprécier toutes les données de fait et de droit (consid. 4 et 5a). Équipement, terrain prêt pour la construction: portée de la planification prévue par la législation sur la protection des eaux (plan directeur des égouts); admissibilité de l'obligation d'établir un "plan de quartier", compte tenu notamment de la situation de la parcelle (consid. 5b-e). Terrain non compris dans la partie de l'agglomération déjà largement bâtie (consid. 6a). Absence de motifs spéciaux fondant un droit à la protection de la bonne foi (consid. 6b).</w:t>
      </w:r>
    </w:p>
    <w:p>
      <w:r>
        <w:t>Regesto Art. 5 LPT; espropriazione materiale (rifiuto di attribuire un fondo alla zona edificabile). Elementi di fatto che possono essere presi in considerazione per determinare l'indennità in caso di rifiuto di attribuire un fondo alla zona edificabile: decisivo è sapere se il proprietario potesse edificare sul suo terreno con mezzi propri in un prossimo futuro. Il fatto che una particella possa di per sé essere considerata urbanizzata e che il proprietario abbia effettuato degli investimenti a questo scopo, non comporta necessariamente un'espropriazione materiale. Obbligo di valutare tutte le circostanze di fatto e di diritto (consid. 4 e 5a). Urbanizzazione e terreno pronto per la costruzione: portata della pianificazione prevista dalla legislazione sulla protezione della acque (piano generale della canalizzazioni); ammissibilità dell'obbligo di stabilire un piano di quartiere, tenuto conto anche della situazione della particella (consid. 5b-e). Terreno non compreso nella zona già edificata in larga misura (consid. 6a). Assenza di motivi speciali che giustificano la protezione della buona fede (consid. 6b).</w:t>
      </w:r>
    </w:p>
    <w:p>
      <w:pPr>
        <w:pStyle w:val="Heading2"/>
      </w:pPr>
      <w:r>
        <w:t>Erwägungen</w:t>
      </w:r>
    </w:p>
    <w:p>
      <w:r>
        <w:rPr>
          <w:b/>
        </w:rPr>
        <w:t>E. 4</w:t>
      </w:r>
    </w:p>
    <w:p>
      <w:r>
        <w:t>a) Die Nichteinzonung löst wie gesagt grundsätzlich keine Entschädigungspflicht aus. Sie trifft den Eigentümer nur ausnahmsweise enteignungsähnlich, etwa dann, wenn er überbaubares oder groberschlossenes Land besitzt, das von einem gewässerschutzrechtlichen generellen Kanalisationsprojekt (GKP) erfasst wird, und wenn er für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des Bundesgesetzes über die Raumplanung vom 22. Juni 1979 [Raumplanungsgesetz, RPG; SR 700] ) befindet. Solche Umstände hätten möglicherweise eine Einzonung gebieten können, so dass der Eigentümer am massgebenden Stichtag mit hoher Wahrscheinlichkeit mit einer aus eigener Kraft realisierbaren Überbauung seines Landes rechnen durfte ( BGE 122 II 326 E. 6a; BGE 121 II 417 E. 4b). Trifft das nicht zu, kann nicht von einer enteignungsgleichen Wirkung der Nichteinzonung gesprochen werden. Der Eigentümer besitzt grundsätzlich keinen Rechtsanspruch auf Einweisung seines Landes in eine Bauzone, auch nicht, wenn er erschlossenes oder erschliessbares Land besitzt. Dies ergibt sich aus dem Vorrang der rechtlichen Gegebenheiten, auf die in erster Linie abzustellen ist. BGE 122 II 455 S. 458 Erste Voraussetzung bildet die Zugehörigkeit des entsprechenden Landes zu einer Bauzone, welche den aus der Neuordnung des Bodenrechts fliessenden verfassungs- und gesetzmässigen Anforderungen entspricht und welche die Berechtigung zum Bauen einschliesst ( BGE 122 II 326 E. 6a; BGE 119 Ib 124 E. 2d). b) Das Verwaltungsgericht ging bei der Prüfung der Frage der Entschädigungspflicht von den vorstehend dargelegten Prinzipien aus und prüfte, ob einer der genannten entschädigungspflichtigen Ausnahmefälle vorliege. Dabei kam es zum Schluss, die Liegenschaft des Beschwerdegegners sei vollständig erschlossen und er habe für die Erschliessung bereits erhebliche Kosten aufgewendet. Zur Frage, ob das Grundstück von einem gewässerschutzrechtskonformen GKP erfasst werde, hielt das Verwaltungsgericht fest, Sinn der entsprechenden bundesgerichtlichen Praxis könne nur sein, dass das GKP den verlangten technischen Anforderungen, nicht aber hinsichtlich seiner Ausdehnung den Vorgaben des Gewässerschutzrechtes genüge; andernfalls sei das vom Bundesgericht verlangte Erfordernis eine Hürde, welche nie zu einer Entschädigungspflicht führen könne. Da jedenfalls die Kanalisation zur Erschliessung der Liegenschaft des Beschwerdegegners erstellt sei, sei das Erfordernis des Einbezuges des Grundstücks in ein gewässerschutzrechtskonformes GKP hier obsolet. c) Die Argumentation des Verwaltungsgerichtes wirft Fragen auf. Offenbar geht es davon aus, die in der bundesgerichtlichen Rechtsprechung erwähnten (möglicherweise) entschädigungspflichtigen Nichteinzonungsfälle (vorne E. 4a) seien je in sich geschlossene Tatbestände, und wenn die Voraussetzungen eines Tatbestandes nicht erfüllt seien, liege von vorneherein keine materielle Enteignung vor. In dieser Absolutheit kann die Rechtsprechung des Bundesgerichtes jedoch nicht verstanden werden. Massgebend für das Vorliegen der Entschädigungspflicht (auch) bei Nichteinzonungen ist, dass der Eigentümer am Stichtag seine Liegenschaft aus eigener Kraft in naher Zukunft sehr wahrscheinlich hätte überbauen können. Dabei hat das Bundesgericht stets betont, es komme insoweit auf eine Würdigung aller rechtlichen und tatsächlichen Gegebenheiten an, wobei in erster Linie auf die rechtliche Ausgangslage abzustellen sei ( BGE 122 II 326 E. 3 und 6a ; 121 I 417 E. 4; Urteil des Bundesgerichtes vom 11. November 1992, E. 6c, in ZBl. 94/1993 S. 261 f.). Deshalb können zwar im Einzelfall die gegebenen Erschliessungsverhältnisse eine Entschädigungspflicht gebieten (vgl. Urteil des Bundesgerichtes vom 11. November BGE 122 II 455 S. 459 1992, E. 6d, in ZBl. 94/1993 S. 262 ff.), doch ist das nicht zwingend (vgl. Urteil des Bundesgerichtes vom 9. März 1988, E. 4d, in ZBl. 90/1989 S. 548 f., und nicht veröffentlichtes Urteil des Bundesgerichtes vom 30. Mai 1994 i.S. Gemeinde Safnern, E. 6, mit Präzisierung des zitierten Entscheides vom 11. November 1992); namentlich die sich aus dem Gebot der systematischen Baugebietserschliessung ergebende Quartierplanpflicht kann der Möglichkeit, ein für sich allein betrachtet erschlossenes Grundstück in naher Zukunft aus eigener Kraft zu überbauen, entgegenstehen ( BGE 119 Ib 124 E. 4a/bb; Urteil des Bundesgerichtes vom 11. November 1992, E. 6c, in ZBl. 94/1993 S. 262). Auf der anderen Seite schliesst zum Beispiel selbst eine nicht in allen Teilen hinreichende Erschliessung eine materielle Enteignung nicht zum vornherein aus; es kann sein, dass aufgrund einer Gesamtwürdigung des Sachverhaltes eine Einzonungspflicht bejaht werden muss, weil das Land im weitgehend überbauten Gebiet im Sinne von Art. 36 Abs. 3 RPG liegt ( BGE 122 II 326 E. 6b und c; 121 II 417 ).</w:t>
      </w:r>
    </w:p>
    <w:p>
      <w:r>
        <w:rPr>
          <w:b/>
        </w:rPr>
        <w:t>E. 5</w:t>
      </w:r>
    </w:p>
    <w:p>
      <w:r>
        <w:t>a) Im vorliegenden Fall tätigte der Beschwerdegegner für die Erschliessung seiner Parzelle Aufwendungen; auch kann die Liegenschaft an sich als erschlossen betrachtet werden. Der Augenschein hat dies bestätigt, führen doch sowohl die Strasse als auch die Werkleitungen bis zum bzw. in die unmittelbare Nähe des Grundstückes. Dies allein ist aber nach dem Gesagten für eine allfällige Entschädigungspflicht noch nicht ausschlaggebend. b) aa) Hinsichtlich der Frage, welche Tragweite dem GKP hier zukommt, kann vorab festgehalten werden, dass die Parzelle innerhalb des heute noch geltenden GKP Ortsteil Uerikon-Wellenberg vom Dezember 1965 liegt. Allerdings ist das vom GKP erfasste Gebiet deutlich grösser dimensioniert als die Bauzonen der Zonenpläne von 1960 und 1974. Das GKP entsprach damit nie den Anforderungen des Art. 15 der Allgemeinen Gewässerschutzverordnung (AGSchV; SR 814.201) in der Fassung vom 19. Juni 1972, nach dessen Wortlaut für die Ausdehnung des GKP in erster Linie "das im Zonenplan ausgeschiedene Baugebiet" massgeblich ist. Ihm lagen, wie an der Instruktionsverhandlung bestätigt worden ist, völlig unrealistische Vorstellungen über das Bevölkerungswachstum zugrunde (vgl. dazu auch BGE 106 Ia 184 E. 4c). bb) Jedenfalls nicht mit der Rechtsprechung des Bundesgerichtes übereinstimmend ist die Auffassung des Verwaltungsgerichts, wonach sich das Kriterium der Gewässerschutzrechtskonformität des GKP lediglich auf die technischen Aspekte, z.B. die Dimensionierung BGE 122 II 455 S. 460 der Leitungen, nicht aber auf die Ausdehnung des GKP beziehe. Das Bundesgericht beurteilte bereits in BGE 106 Ia 184 (E. 4c) die Dimensionierung des GKP aus ortsplanerischer Sicht. In BGE 118 Ib 38 (E. 4d) und BGE 119 Ib 124 (E. 3b) bestätigte es, dass das GKP für das überbaute und für das innert 15 Jahren zur Erschliessung vorgesehene Baugebiet anzulegen ist (vgl. Art. 15 AGSchV in der Fassung vom 19. Juni 1972). Zwar mag es zutreffen, dass die Rechtsprechung des Bundesgerichts, wonach seit Inkrafttreten des Raumplanungsgesetzes der Verweis in der Gewässerschutzgesetzgebung auf das im Zonenplan ausgeschiedene Baugebiet als Verweis auf eine RPG-konforme Zonenplanung zu verstehen sei (so BGE 118 Ib 47 mit Hinweis auf einen unveröffentlichten Entscheid vom 13. Januar 1992 i.S. Commune de Gruyère), den Anschein erwecken kann, in gewissen Fällen sei die Bejahung einer entschädigungspflichtigen Nichteinzonung von vornherein undenkbar. Wie bereits erwähnt worden ist, stellt indessen das Kriterium des gewässerschutzrechtskonformen GKP nicht einen abgeschlossenen Tatbestand dar. Dazu kommt, dass im vorliegenden Fall die Gewässerschutzrechtskonformität des GKP gerade nicht daran scheitert, dass das GKP nicht den Dimensionen entspricht, wie sie das im Jahre 1980 in Kraft getretene RPG für Bauzonen vorsieht. Das GKP Ortsteil Uerikon-Wellenberg vom Dezember 1965 widerspricht vielmehr auch der Gewässerschutzgesetzgebung, wie sie sich vor Inkrafttreten des RPG präsentiert hat. So war, wie bereits ausgeführt worden ist, das von ihm erfasste Gebiet erheblich grösser als die (bereits überdimensionierten) Bauzonen der Zonenpläne von 1960 und 1974 (vgl. E. 5b/aa). c) Es kommt hinzu, dass sich die Beschwerdeführerin zu Recht auf den Standpunkt stellt, die Quartierplanpflicht stehe trotz der gegebenen Erschliessung einer aus eigener Kraft realisierbaren Überbauung der Liegenschaft durch den Beschwerdegegner entgegen. Anders als dieser meint, ist der Einwand der Quartierplanpflicht nicht neu. Die Beschwerdeführerin hat in ihrer Klagebegründung vom 11. November 1993 einlässlich ausgeführt, weshalb ihrer Meinung nach ein Grundstück, das für sich allein betrachtet erschlossen ist, in die für die Baureifmachung eines ganzen Gebiets notwendige Quartierplanung einbezogen werden kann. Der Augenschein hat in tatsächlicher Hinsicht bestätigt, dass sich das Grundstück an einer landschaftlich heiklen Stelle befindet. Es liegt auf einem Moränenhügel und markiert als Abschluss des nach Süden abfallenden Rütihofhangs den Übergang zum nördlich BGE 122 II 455 S. 461 anschliessenden unüberbauten Plateau "Torlen". Östlich der Parzelle befinden sich die unüberbauten Grundstücke Kat.-Nrn. ..., .. und ...... Auch diese zeichnen sich durch ihre exponierte und landschaftlich heikle Lage an der Krete des Rütihofhanges aus. Diese landschaftlich besondere Situation fand in den planerischen Festlegungen der Gemeinde Niederschlag. Die Beschwerdeführerin bezeichnete in ihrem Richtplan den östlichen Teil der Parzelle des X. sowie die östlich daran anschliessenden Grundstücke als Trenngebiete (kommunaler Gesamtplan, Siedlungsplan, Landschaftsplan und Plan der öffentlichen Bauten und Anlagen vom 16. Mai 1983). Im Bericht zum kommunalen Gesamtplan, Ziff. 4.5.1., wird dazu als Begründung angeführt, solche Gebiete sollten aus Gründen des Landschaftsschutzes unüberbaut bleiben. Eine aktive Nutzung als Erholungsgebiet stehe im Interesse der Erhaltung der noch unüberbauten Hügelkuppe nicht im Vordergrund. Die Bedeutung des Trenngebietes liege in der Gliederung des Siedlungsgebietes, weshalb die entsprechenden Landflächen unüberbaut bleiben sollten. d) Der Quartierplan bezweckt, eingezontes Land überbaubar zu machen ( § 123 ff. PBG ; BGE 113 Ib 133 E. 4c; WALTER HALLER/PETER KARLEN, Raumplanungs- und Baurecht, 2. Aufl., 1992, S. 87). Er dient der systematischen Erschliessung von Bauland innerhalb eines zusammenhängenden Gebietes und will sicherstellen, dass eine Bauzone zweckmässig und zielgerichtet in Beachtung des Gebots der haushälterischen Bodennutzung erschlossen wird ( Art. 1 RPG , Art. 5 des Wohnbau- und Eigentumsförderungsgesetzes [WEG; SR 843]; § 123 Abs. 1 und § 126 Abs. 1 des Zürcher Planungs- und Baugesetzes [PBG]; BGE 119 Ib 124 E. 4a/bb). Mit Blick auf diese Funktionen des Quartierplans war die fragliche Liegenschaft am Stichtag (dazu BGE 121 II 417 E. 3a) nicht baureif. Die Lage der Parzelle als "Pfortengrundstück" des gesamten Kretenareals lässt die Durchführung eines Quartierplanverfahrens als angezeigt erscheinen. Der Beschwerdeführerin ist zuzustimmen, dass eine systematische Erschliessung des als landschaftliche Einheit in Erscheinung tretenden Moränenhügels sinnvollerweise nur auf planerischem Weg erfolgen kann. Zufolge der beschriebenen Lage der Parzelle Kat.-Nr. .... hätte die Realisierung der für die Erschliessung aller Grundstücke notwendigen Anlagen den Einbezug des streitbetroffenen Grundstücks in die Quartierplanung bedingt, und ein entsprechender Landabzug wäre mit an Sicherheit grenzender Wahrscheinlichkeit notwendig gewesen ( § 138 Abs. 1 und 2 PBG ). Eine vorgängige isolierte Baubewilligung für die Parzelle hätte bei dieser BGE 122 II 455 S. 462 Sachlage die planungsrechtlichen Festlegungen für den restlichen noch unüberbauten Hügelzug weitgehend präjudiziert; die Baureife muss daher verneint werden ( § 234 Abs. 1 PBG ). e) Aus dem Umstand, dass die südlich gelegenen Parzellen ohne Quartierplanverfahren überbaut wurden, kann der Beschwerdegegner nichts zu seinen Gunsten ableiten. Im Gegensatz zu seiner Parzelle sowie den östlich daran anschliessenden unüberbauten Grundstücken befinden sich diese Liegenschaften nicht an einer exponierten Kretenlage. Optisch wie topographisch kommt diesem Hanggelände eine eigenständige Bedeutung zu. Der Augenschein hat bestätigt, dass es sich von den Kretenparzellen abhebt, weshalb das Bedürfnis nach einer die Feinerschliessung einlässlich regelnden Quartierplanung anders beurteilt werden kann (in diesem Sinne auch die in BGE 118 Ib 38 nicht publizierte E. 5b betreffend das Verhältnis eines Hanggrundstückes zu einer oberhalb bestehenden alten Bebauung im Weiler Fidaz/Flims). Nichts hilft dem Beschwerdegegner auch der Einwand, die zum Gebiet hinaufführende Torlenstrasse sei in den achtziger Jahren entgegen der Bezeichnung der Strasse im Verkehrsplan als Fussweg in einem privaten Bauverfahren als Erschliessungsstrasse ausgebaut worden. Die im Richtplan eingetragene Signatur "Fussweg" bedeutet nicht, dass die Torlenstrasse ausschliesslich nur noch Fussgängern zugänglich gemacht werden soll. Der Bericht zum kommunalen Gesamtplan vom 16. Mai 1983 verdeutlicht das; danach umfasst das Netz sowohl eigentliche Fusswege als auch Verbindungsstrekken auf oder entlang bestehender oder geplanter Strassen. Insoweit steht die genannte richtplanerische Festlegung einem Ausbau der Torlenstrasse für die Erschliessung der Hanggrundstücke nicht entgegen.</w:t>
      </w:r>
    </w:p>
    <w:p>
      <w:r>
        <w:rPr>
          <w:b/>
        </w:rPr>
        <w:t>E. 6</w:t>
      </w:r>
    </w:p>
    <w:p>
      <w:r>
        <w:t>Eine materielle Enteignung könnte somit nur noch bejaht werden, wenn besondere Umstände vorlägen, die es aus Gründen des Vertrauensschutzes geboten hätten, die Liegenschaft einer Bauzone zuzuweisen, oder wenn diese im weitgehend überbauten Gebiet läge (vorne E. 4a). a) Was die Zugehörigkeit zum weitgehend überbauten Gebiet anbelangt, sind die Voraussetzungen für eine entschädigungspflichtige Nichteinzonung nicht erfüllt. Der Begriff des weitgehend überbauten Gebiets ist eng zu verstehen. Er umfasst im wesentlichen den geschlossenen Siedlungsbereich und eigentliche Baulücken ( BGE 122 II 326 E. 6c/aa; BGE 121 II 417 E. 5a). Im vorliegenden Fall kann nicht gesagt werden, für die Parzelle von X. treffe das zu. Wie aus BGE 122 II 455 S. 463 den Akten hervorgeht und am Augenschein erhärtet werden konnte, liegt das Grundstück des Beschwerdegegners am Rande des überbauten Gebiets von Stäfa im Übergang zur nächsten Gelände-kammer. Es gehört nicht zum geschlossenen Siedlungsbereich und kann auch nicht als Baulücke bezeichnet werden. b) Andere besondere Umstände, die eine Vertrauensposition geschaffen und damit eine Einzonung geboten hätten, sind nicht ersichtlich. Namentlich sind - wie gesagt - die Erschliessungsverhältnisse nicht geeignet, die ausnahmsweise Entschädigungspflicht zu begründen. Im übrigen brachte die Gemeinde Stäfa schon seit einiger Zeit zum Ausdruck, dass die Hangkrete wegen ihrer landschaftlich besonderen Lage nicht oder jedenfalls nur unter einschränkenden Bedingungen überbaut werden sollte (vgl. die in E. 5d zitierte kommunale Richtplanung sowie die anlässlich des Augenscheins erwähnte, von der Gemeinde im Jahre 1980 durchgeführte Umfrage über die weitere planerische Behandlung des Gebietes "Torlen"). Zudem war schon früh erkennbar, dass eine allfällige Überbauung wohl nur auf dem Wege der Quartierplanung hätte erfolgen können. So war die Liegenschaft bereits Mitte der siebziger Jahre Bestandteil eines Quartierplanperimeters (vgl. Quartierplan Fangen Nord, Bericht des Projektverfassers Corrodi vom 25. Juli 1974, wonach alle von der Torlenstrasse her erschlossenen Parzellen zwischen der Geländekante Rütihof und der nördlichen Zonengrenze dem Unterperimeter 4 zugewiesen werden). Dass diese Planung nicht weiterverfolgt wurde, lag primär an der mit Inkrafttreten des PBG einsetzenden Diskussion um die Bauzonenbegrenzung sowie der damit zusammenhängenden Planungszone; im übrigen wurde bereits erwähnt, dass das eigentliche Hanggelände hinsichtlich der Quartierplanrealisierung anders als die Kretengrundstücke behandelt werden kann (vorne E. 5e).</w:t>
      </w:r>
    </w:p>
    <w:p>
      <w:r>
        <w:rPr>
          <w:b/>
        </w:rPr>
        <w:t>E. 7</w:t>
      </w:r>
    </w:p>
    <w:p>
      <w:r>
        <w:t>a) Zusammenfassend ergibt sich, dass das Verwaltungsgericht zu Unrecht davon ausging, die Nichteinzonung habe enteignungsähnliche Wirkung. Der Beschwerdegegner durfte unter den gegebenen Umständen nicht mit einer Einzonung seiner Liegenschaft in eine Bauzone rechnen. Die Beschwerde ist somit gutzuheissen, und es ist festzustellen, dass die Umzonung der Parzelle von X. in die kommunale Landwirtschaftszone den Tatbestand der materiellen Enteignung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