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382</w:t>
      </w:r>
    </w:p>
    <w:p>
      <w:r>
        <w:t>Bundesgericht (BGE), 1996-01-01, DE</w:t>
      </w:r>
    </w:p>
    <w:p>
      <w:r>
        <w:rPr>
          <w:b/>
        </w:rPr>
        <w:t xml:space="preserve">Quelle: </w:t>
      </w:r>
      <w:r>
        <w:t>https://mcp.opencaselaw.ch/entscheid/bge_BGE_122_II_382</w:t>
      </w:r>
    </w:p>
    <w:p>
      <w:r>
        <w:t>FR: ATF 122 II 382</w:t>
      </w:r>
    </w:p>
    <w:p>
      <w:r>
        <w:t>IT: DTF 122 II 382</w:t>
      </w:r>
    </w:p>
    <w:p>
      <w:pPr>
        <w:pStyle w:val="Heading2"/>
      </w:pPr>
      <w:r>
        <w:t>Regeste</w:t>
      </w:r>
    </w:p>
    <w:p>
      <w:r>
        <w:t>Regeste Subvention des Bundes für einen öffentlichen Schutzraum. Beschwerdebefugnis nach Art. 103 lit. a OG. Die Gemeinde ist als Subventionsgesuchstellerin zur Verwaltungsgerichtsbeschwerde legitimiert (E. 2b). Legitimation des Kantons verneint (E. 2c).</w:t>
      </w:r>
    </w:p>
    <w:p>
      <w:r>
        <w:t>Regeste Subventions fédérales pour un abri public. Qualité pour recourir selon l'art. 103 let. a OJ. En tant qu'elle demande une subvention, la commune a qualité pour agir par la voie du recours de droit administratif (consid. 2b). Qualité pour recourir du canton niée (consid. 2c).</w:t>
      </w:r>
    </w:p>
    <w:p>
      <w:r>
        <w:t>Regesto Sussidio federale per un rifugio pubblico. Legittimazione a ricorrere giusta l'art. 103 lett. a OG. Nella misura in cui chiede un sussidio, il Comune può proporre un ricorso di diritto amministrativo (consid. 2b). Il Cantone non è legittimato a ricorrere (consid. 2c).</w:t>
      </w:r>
    </w:p>
    <w:p>
      <w:pPr>
        <w:pStyle w:val="Heading2"/>
      </w:pPr>
      <w:r>
        <w:t>Erwägungen</w:t>
      </w:r>
    </w:p>
    <w:p>
      <w:r>
        <w:rPr>
          <w:b/>
        </w:rPr>
        <w:t>E. 2</w:t>
      </w:r>
    </w:p>
    <w:p>
      <w:r>
        <w:t>b) Die Politische Gemeinde Kappel am Albis ist als betroffene Subventionsgesuchstellerin aufgrund von Art. 103 lit. a OG zur Verwaltungsgerichtsbeschwerde legitimiert ( BGE 110 Ib 148 E. 1c S. 154; unveröffentlichtes Urteil i.S. Stadt Winterthur gegen Eidgenössisches Departement des Innern vom 6. Juni 1995, E. 2b, betreffend Subvention für eine Kehrichtverbrennungsanlage). c) Fraglich ist die Beschwerdebefugnis des Kantons Zürich bzw. des im Namen des Kantons handelnden kantonalen Amtes für Zivilschutz. Auf eine besondere Ermächtigung im Sinne von Art. 103 lit. c OG kann sich diese Behörde nicht stützen, weshalb sich ihre Beschwerdebefugnis nach der allgemeinen Regelung von Art. 103 lit. a OG beurteilt. Das vom kantonalen Amt für Zivilschutz einzig geltend gemachte Interesse am "korrekten Vollzug bzw. an der rechtsgleichen Anwendung von Bundesrecht" begründet noch kein schutzwürdiges Anfechtungsinteresse im Sinne der genannten Bestimmung ( BGE 112 Ia 59 E. 1b S. 62; BGE 105 Ib 348 E. 5a S. 359, mit Hinweisen). Ein sonstiges schutzwürdiges eigenes Interesse des Kantons ist nicht dargetan oder erkennbar. Es wird insbesondere nicht geltend gemacht, die Verweigerung der Bundessubvention führe zu einer finanziellen Mehrbelastung des Kantons (vgl. dazu Art. 6 des Bundesgesetzes über die baulichen Massnahmen im Zivilschutz vom 4. Oktober 1963 [Schutzbautengesetz, BMG; SR 520.2] , Fassungen vom 5. Oktober 1984 und vom 17. Juni 1994). Dass das kantonale Amt für Zivilschutz sowohl bei der Genehmigung des Projektes wie auch bei der Abwicklung des Beitragsverfahrens mitwirkt und der Kanton BGE 122 II 382 S. 384 allenfalls formell als Empfänger der Bundesleistungen auftritt, begründet für sich allein noch kein schutzwürdiges eigenes Interesse des Kantons an der Erhältlichmachung des der Gemeinde zustehenden Bundesbeitrages. Bei dieser Sachlage kann die Befugnis zur Anfechtung des abschlägigen Subventionsentscheides - mangels einer expliziten gegenteiligen gesetzlichen Regelung - nur der unmittelbar betroffenen Gemeinde als Trägerin des Bauvorhabens zustehen, nicht dagegen auch dem Kanton oder dessen zuständiger Fachstelle. Auf die Verwaltungsgerichtsbeschwerde des Kantons Zürich ist daher nicht einzutreten. Dies schliesst nicht aus, dass die Vorbringen des kantonalen Amtes für Zivilschutz als Vernehmlassung einer beteiligten Behörde berücksichtigt werden ( Art. 110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