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234</w:t>
      </w:r>
    </w:p>
    <w:p>
      <w:r>
        <w:t>Bundesgericht (BGE), 1996-01-01, DE</w:t>
      </w:r>
    </w:p>
    <w:p>
      <w:r>
        <w:rPr>
          <w:b/>
        </w:rPr>
        <w:t xml:space="preserve">Quelle: </w:t>
      </w:r>
      <w:r>
        <w:t>https://mcp.opencaselaw.ch/entscheid/bge_BGE_122_II_234</w:t>
      </w:r>
    </w:p>
    <w:p>
      <w:r>
        <w:t>FR: ATF 122 II 234</w:t>
      </w:r>
    </w:p>
    <w:p>
      <w:r>
        <w:t>IT: DTF 122 II 234</w:t>
      </w:r>
    </w:p>
    <w:p>
      <w:pPr>
        <w:pStyle w:val="Heading2"/>
      </w:pPr>
      <w:r>
        <w:t>Regeste</w:t>
      </w:r>
    </w:p>
    <w:p>
      <w:r>
        <w:t>Regeste Rodungsbewilligung für den Bau einer staatsvertraglich vereinbarten zollfreien Strasse. Der Vertrag zwischen der Schweizerischen Eidgenossenschaft und der Bundesrepublik Deutschland über die Strasse zwischen Lörrach und Weil am Rhein auf schweizerischem Gebiet vom 25. April 1977 (SR 0.725.122) legt den Verlauf der projektierten Strasse detailliert fest und regelt abschliessend die Voraussetzungen zur Erreichung des Vertragszwecks; der Vertrag enthält insbesondere keine Vorbehalte zugunsten landesinterner Bewilligungsverfahren (E. 4b-d). Konsequenzen der völkerrechtlichen Bindung für das innerstaatliche Rodungsbewilligungsverfahren (E. 4e).</w:t>
      </w:r>
    </w:p>
    <w:p>
      <w:r>
        <w:t>Regeste Autorisation de défricher pour la construction d'une route conclue par traité international. L'accord conclu le 25 avril 1997 entre la Confédération suisse et la République fédérale d'Allemagne concernant la route entre Lörrach et Weil am Rhein sur le territoire suisse (RS 0.725.122) fixe le tracé de cette route et règle définitivement les conditions pour atteindre le but de l'accord; il ne contient en particulier aucune réserve en faveur d'une procédure d'autorisation de droit interne (consid. 4b-d). Conséquences de la primauté du droit international sur la procédure interne d'autorisation de défricher (consid. 4e).</w:t>
      </w:r>
    </w:p>
    <w:p>
      <w:r>
        <w:t>Regesto Autorizzazione di dissodamento per la costruzione di una strada sulla base di un accordo internazionale. L'accordo tra la Confederazione Svizzera e la Repubblica federale di Germania concernente la strada tra Lörrach e Weil am Rhein sul territorio svizzero conchiuso il 25 aprile 1977 (RS 0.725.122) stabilisce in maniera dettagliata il tracciato della progettata strada e disciplina in modo definitivo le condizioni per raggiungere lo scopo dell'accordo; l'accordo non contiene, in particolare, nessuna riserva in favore della procedura d'autorizzazione del diritto interno (consid. 4b-d). Conseguenze del primato del diritto internazionale sulla procedura interna d'autorizzazione a dissodare (consid. 4e).</w:t>
      </w:r>
    </w:p>
    <w:p>
      <w:pPr>
        <w:pStyle w:val="Heading2"/>
      </w:pPr>
      <w:r>
        <w:t>Erwägungen</w:t>
      </w:r>
    </w:p>
    <w:p>
      <w:r>
        <w:rPr>
          <w:b/>
        </w:rPr>
        <w:t>E. 4</w:t>
      </w:r>
    </w:p>
    <w:p>
      <w:r>
        <w:t>Nach dem Staatsvertrag von 1977 gestattet die Eidgenossenschaft der Bundesrepublik Deutschland den Bau, Unterhalt und Betrieb einer öffentlichen Strasse zwischen den Städten Lörrach und Weil am Rhein über schweizerisches Gebiet (Art. 1 Abs. 1). Es ist zunächst die für dieses Werk erteilte Rodungsbewilligung zu überprüfen. a) Ein von der Bundesversammlung genehmigter Staatsvertrag wird mit dem Austausch der Ratifikationsurkunden für die Vertragsstaaten völkerrechtlich verbindlich; er erlangt zusammen mit der völkerrechtlichen auch landesrechtliche Wirkung. Er kann vom Bürger vor Gericht angerufen bzw. von den Behörden als Grundlage einer Entscheidung herangezogen werden, wenn er - wie im vorliegenden Fall - unbedingt und eindeutig genug formuliert ist, um in einem konkreten Fall direkt angewendet zu werden (Verhältnis zwischen Völkerrecht und Landesrecht im Rahmen der schweizerischen Rechtsordnung, Gemeinsame Stellungnahme des Bundesamtes für Justiz und der Direktion für Völkerrecht vom 26. April 1989, VPB 53 Nr. 54 S. 404 mit Hinweisen). b) Gemäss dem Staatsvertrag von 1977 ist die Eidgenossenschaft befugt, die Bauausführung der Verbindungsstrasse in polizeilicher Hinsicht und bezüglich der Einhaltung der Vereinbarungen und Pläne zu überwachen (Art. 1 Abs. 2). Die für den Bau erforderlichen Grundstücke werden vom Kanton Basel-Stadt zur Verfügung gestellt. Sie sind nötigenfalls auf dem Wege der Landumlegung oder der Enteignung zu beschaffen. Für den Fall des Landerwerbs durch Enteignung überträgt die Eidgenossenschaft dem Kanton das Enteignungsrecht im Sinn von Art. 3 Abs. 2 des Bundesgesetzes über die Enteignung vom 20. Juni 1930 (SR 711) . Das Enteignungsverfahren beschränkt sich auf die Behandlung der angemeldeten Forderungen; Einsprachen gegen die Umlegung oder gegen die Enteignung sowie Begehren, die eine Planänderung bezwecken, sind ausgeschlossen (Art. 1 Abs. 4). Linienführung und Bau der Strasse bestimmen sich nach dem vom Regierungsrat am 16. Dezember 1975 genehmigten Auflageprojekt (Art. 2 Abs. 1). In Art. 2 Abs. 2 wird die Strassenführung beschrieben, und es wird auf den dem Vertrag beigefügten BGE 122 II 234 S. 238 Rahmenplan verwiesen. Dieser Plan ist in der amtlichen Sammlung des Bundesrechts veröffentlicht (AS 1980 984). Die Regelung technischer Einzelheiten behält der Staatsvertrag von 1977 der besonderen Vereinbarung zwischen dem Kanton Basel-Stadt und dem Land Baden-Württemberg vor (Art. 2 Abs. 7). Das Übereinkommen ordnet ferner die Strassenbenützung und bestimmt das hierfür massgebliche Recht. Die Schlussbestimmungen legen u.a. fest, wie Meinungsverschiedenheiten über die Vertragsauslegung beizulegen sind. Der Vertrag ist auf unbestimmte Zeit abgeschlossen und kann nur im gegenseitigen Einvernehmen zwischen den Vertragsstaaten aufgehoben oder geändert werden; die Vertragsstaaten treten auf Verlangen eines Vertragsstaates in Verhandlungen über eine angemessene Neuregelung, wenn sich bei der Durchführung erhebliche Schwierigkeiten ergeben oder sich die Verhältnisse wesentlich verändert haben (Art. 22). c) Die Wiener Konvention über das Recht der Verträge vom 23. Mai 1969 (VRK; SR 0.111) ist für die Schweiz am 6. Juni 1990 in Kraft getreten. Das Übereinkommen findet zwar auf den vorliegend zur Diskussion stehenden, bereits 1977 abgeschlossenen Staatsvertrag keine direkte Anwendung ( Art. 4 VRK ). Dem steht jedoch nicht entgegen, dass sich die Vertragsauslegung an den in Art. 31 ff., insbesondere in Art. 31 Abs. 1 VRK festgelegten allgemeinen Grundsätzen orientiert (vgl. BGE 117 V 268 E. 3b S. 269), zumal diese in ihrem wesentlichen Gehalt Völkergewohnheitsrecht kodifizieren ( BGE 120 Ib 360 E. 2c S. 365) und mithin der bisherigen Praxis des Bundesgerichts entsprechen (s. BGE 116 Ib 217 E. 3a mit weiteren Hinweisen; speziell zum Vertrauensgrundsatz vgl. BGE 38 I 551 E. 4a S. 585; BGE 94 I 669 E. 4 S. 673). Nach Art. 31 Abs. 1 VRK ist ein Staatsvertrag nach Treu und Glauben in Übereinstimmung mit der gewöhnlichen, seinen Bestimmungen in ihrem Zusammenhang zukommenden Bedeutung und im Lichte seines Zieles und Zweckes auszulegen. d) Lage und Umfang der projektierten Verbindungsstrasse sind im Staatsvertrag von 1977 detailliert festgelegt. Das dem Rodungsgesuch zugrundeliegende Projekt entspricht dieser vertraglichen Festsetzung, was unbestritten ist. Ziel und Zweck des Vertrages sind, die Verbindungsstrasse am vorgesehenen Ort zu bauen und hernach zu betreiben. Der Staatsvertrag regelt abschliessend, unter welchen Voraussetzungen der Vertragszweck erreicht werden soll. Die Bauausführung richtet sich nach dem Auflageprojekt und den im Genehmigungsbeschluss enthaltenen Bedingungen und Auflagen. Weitergehende Voraussetzungen können dem Vertragstext nicht BGE 122 II 234 S. 239 entnommen werden; insbesondere fehlen Rückverweise auf Landesrecht und Vorbehalte zugunsten landesinterner Bewilligungen. Es gibt auch keine Hinweise dafür, dass die Vertragsstaaten Bewilligungsverfahren stillschweigend vorbehalten hätten. Dies ist um so weniger anzunehmen, als dem Vertragsabschluss ein landesinternes Auflage- und Einspracheverfahren vorausgegangen war. Sodann kann weder aus der Entstehungsgeschichte noch aus dem Vertragszweck oder aus dem Zusammenhang mit anderen Bestimmungen geschlossen werden, die Übereinkunft sei im hier zur Diskussion stehenden Bereich lückenhaft oder gebe die wirkliche Willensmeinung der Parteien unzutreffend wieder. All dies führt zum Auslegungsergebnis, dass der Vertragszweck und mithin die Verwirklichung der Verbindungsstrasse nicht vom Ergebnis nachfolgender landesinterner Bewilligungsverfahren abhängen soll. e) Die Eidgenossenschaft kann sich der völkerrechtlichen Verpflichtung nicht unter Berufung auf inländisches Recht entziehen; das Völkerrecht hat grundsätzlich Vorrang (vgl. BGE 119 V 171 E. 4 S. 176 ff.; BGE 109 Ib 165 E. 7b S. 173). Dies verlangt von den Rechtsanwendungsinstanzen eine völkerrechtskonforme Handhabung des Landesrechts. In bezug auf die vorliegend umstrittenen Rodungsvoraussetzungen wirkt sich dies materiell in zweierlei Hinsicht aus: Zum einen ist mit der Ratifizierung des Vertrags abschliessend über die Standortgebundenheit des Werks entschieden worden und die Rodungsbehörde kann diese unter keinem Aspekt mehr in Frage stellen. Zum anderen besteht kein Raum mehr für eine Interessenabwägung; diese liegt der eingegangenen Verpflichtung zugrunde, den Bau der Strasse ohne Vorbehalt zugunsten landesinterner Bewilligungsverfahren zu ermöglichen. Damit ist durch den Staatsvertrag von 1977 vorgegeben, dass den wichtigen Gründen, die hier für eine Rodung angeführt werden können, kein überwiegendes Interesse an der Walderhaltung entgegensteht. Bei dieser Rechtslage erscheint fraglich, ob das Projekt überhaupt einer Rodungsbewilligung bedurfte oder ob nicht eine Verfügung über die Ersatzaufforstung genügt hätte; jedenfalls ist es nicht zu beanstanden, dass die für die Erteilung der Rodungsbewilligung zuständige kantonale Instanz die Vorgaben des Staatsvertrages von 1977 bei der Handhabung der waldrechtlichen Bestimmungen beachtete. Insofern verletzt der angefochtene Beschluss kein Bundesrecht und es erübrigt sich, auf den gegenteiligen Standpunkt der Beschwerdeführer weiter einzugehen. BGE 122 II 234 S. 240 Daran vermag auch der Hinweis auf Art. 22 Abs. 2 des Staatsvertrages von 1977 nichts zu ändern. Nach dieser Bestimmung treten - wie schon gesagt - die Vertragsstaaten bei erheblichen Schwierigkeiten in der Durchführung des Vertrages oder bei wesentlicher Veränderung der Verhältnisse in "Verhandlungen über eine angemessene Neuregelung". Die Möglichkeit der Vertragsänderung schränkt die völkerrechtliche Verpflichtung nicht ein, den Vertrag nach Treu und Glauben zu erfüllen. Solange eine Vertragsänderung nicht zustande gekommen ist, behält der in Kraft stehende Vertrag seine völkerrechtliche Verbindlichkeit und mithin landesrechtliche Wirkung, d.h. er ist für die rechtsanwendenden Behörden verbindlich. Entgegen der Auffassung der Beschwerdeführer ist es daher für die Beurteilung der streitigen Rodung unerheblich, ob die Voraussetzungen für die Aufnahme von Verhandlungen vorliegen und ob gegebenenfalls nach innerstaatlichem Recht die Verpflichtung zur Verhandlungsaufnahme besteht oder nicht. Nachdem es auch keine Anzeichen gibt, dass die Eidgenossenschaft mit einem Änderungsbegehren an die Bundesrepublik Deutschland herantreten wird, besteht kein Anlass, mit der Beurteilung der Streitsache bis zum Vorliegen eines Verhandlungsergebnisses zuzuwarten. Nach dem Gesagten verletzt die für die Verbindungsstrasse bewilligte Rodung weder Art. 5 WaG (SR 921.0) noch Koordinationsgrundsätze.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