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134</w:t>
      </w:r>
    </w:p>
    <w:p>
      <w:r>
        <w:t>Bundesgericht (BGE), 1959-04-20, DE</w:t>
      </w:r>
    </w:p>
    <w:p>
      <w:r>
        <w:rPr>
          <w:b/>
        </w:rPr>
        <w:t xml:space="preserve">Quelle: </w:t>
      </w:r>
      <w:r>
        <w:t>https://mcp.opencaselaw.ch/entscheid/bge_BGE_122_II_134</w:t>
      </w:r>
    </w:p>
    <w:p>
      <w:r>
        <w:t>FR: ATF 122 II 134</w:t>
      </w:r>
    </w:p>
    <w:p>
      <w:r>
        <w:t>IT: DTF 122 II 134</w:t>
      </w:r>
    </w:p>
    <w:p>
      <w:pPr>
        <w:pStyle w:val="Heading2"/>
      </w:pPr>
      <w:r>
        <w:t>Regeste</w:t>
      </w:r>
    </w:p>
    <w:p>
      <w:r>
        <w:t>Regeste Internationale Rechtshilfe in Strafsachen; Spezialitätsvorbehalt (Art. 67 Abs. 1 IRSG; Vorbehalt Art. 2 lit. b der Schweiz zum EUeR). Die Gewährung internationaler Rechtshilfe nach dem Europäischen Übereinkommen über die Rechtshilfe in Strafsachen vom 20. April 1959 (EUeR) setzt voraus, dass die beantragten Massnahmen einem strafrechtlichen Verfahren im ersuchenden Staat dienen. Ein Missbrauch des Rechtshilfeverfahrens läge allenfalls dann vor, wenn das Strafverfahren bloss vorgeschoben wäre, d.h. die beantragten Massnahmen in Wirklichkeit ausschliesslich der Beweisführung in einem Zivilverfahren dienten (E. 7b). Art. 67 Abs. 1 IRSG will verhindern, dass Auskünfte aus dem Rechtshilfeverfahren zur strafrechtlichen Verfolgung nicht rechtshilfefähiger Delikte verwendet werden; er steht dagegen einer zivilprozessualen Verwendung dieser Auskünfte nicht entgegen; dies gilt jedenfalls, sofern es sich um die Forderungen des durch die Straftat Geschädigten handelt. Verfahrensmässig ist die zivilrechtliche Weiterverwendung von Auskünften aus dem strafrechtlichen Rechtshilfeverfahren an die Zustimmung des Bundesamtes für Polizeiwesen gebunden (E. 7c).</w:t>
      </w:r>
    </w:p>
    <w:p>
      <w:r>
        <w:t>Regeste Entraide judiciaire internationale en matière pénale; principe de la spécialité (art. 67 al. 1 EIMP; réserve de la Suisse à l'art. 2 let. b CEEJ). L'octroi de l'entraide internationale selon la Convention européenne d'entraide judiciaire en matière pénale du 20 avril 1959 (CEEJ) suppose que les mesures sollicitées soient utiles à la poursuite pénale dans l'état requérant. Un abus de la procédure d'entraide pourrait à la rigueur se concevoir dans l'hypothèse où la procédure pénale ne serait que le prétexte pour obtenir des renseignements destinés en réalité exclusivement à servir de preuves dans une procédure civile (consid. 7b). L'art. 67 al. 1 EIMP tend à empêcher que les renseignements obtenus par voie d'entraide soient produits dans une procédure pénale visant une infraction pour laquelle l'entraide est exclue; il ne s'oppose en revanche pas à leur utilisation ultérieure dans le cadre d'une procédure civile, en particulier lorsqu'il s'agit de satisfaire les prétentions du lésé découlant de l'infraction pénale. Une telle utilisation est subordonnée à l'approbation de l'Office fédéral de la police (consid. 7c).</w:t>
      </w:r>
    </w:p>
    <w:p>
      <w:r>
        <w:t>Regesto Assistenza giudiziaria internazionale in materia penale; principio della specialità (art. 67 cpv. 1 AIMP; riserva della Svizzera all'art. 2 lett. b alla CEAG). La concessione dell'assistenza giudiziaria secondo la Convenzione europea di assistenza giudiziaria in materia penale del 20 aprile 1959 (CEAG) presuppone che le misure sollecitate servano in un procedimento penale nello Stato richiedente. Si sarebbe eventualmente in presenza di un abuso della procedura di assistenza quando il procedimento penale costituirebbe un semplice pretesto, ossia quando le misure richieste, in realtà, servirebbero esclusivamente come mezzi di prova in un procedimento civile (consid. 7b). L'art. 67 cpv. 1 AIMP tende a impedire che informazioni ottenute mediante l'assistenza giudiziaria possano essere utilizzate per il perseguimento penale di reati per i quali l'assistenza è esclusa; esso non osta, per contro, a un'utilizzazione di queste informazioni nel quadro di una procedura civile; ciò vale, in ogni modo, quando si tratta di pretese del danneggiato derivanti da un reato. Proceduralmente, l'ulteriore utilizzazione, in ambito civile, delle informazioni ottenute mediante l'assistenza giudiziaria in materia penale è soggetta all'approvazione dell'ufficio federale di polizia (consid. 7c).</w:t>
      </w:r>
    </w:p>
    <w:p>
      <w:pPr>
        <w:pStyle w:val="Heading2"/>
      </w:pPr>
      <w:r>
        <w:t>Erwägungen</w:t>
      </w:r>
    </w:p>
    <w:p>
      <w:r>
        <w:rPr>
          <w:b/>
        </w:rPr>
        <w:t>E. 7</w:t>
      </w:r>
    </w:p>
    <w:p>
      <w:r>
        <w:t>a) Schliesslich behaupten die Beschwerdeführerinnen, das Rechtshilfegesuch diene einzig dem Zweck, Beweise für die bereits BGE 122 II 134 S. 137 anhängigen bzw. vorgesehenen zivilrechtlichen Klagen zu erlangen; die Staatsanwaltschaft leiste der Bundesanstalt für Vereinigungsbedingte Sonderaufgaben als ebenfalls staatlicher Institution "Quasi-Amtshilfe". Das Rechtshilfeersuchen sei daher missbräuchlich und müsse abgewiesen werden. Zumindest müsse die Rechtshilfe an die ausdrückliche Zusicherung der ersuchenden Behörde geknüpft werden, dass die im Rechtshilfeverfahren erhaltenen Unterlagen und Auskünfte ausschliesslich zur strafrechtlichen Verfolgung derjenigen Handlungen verwendet werden, für welche Rechtshilfe bewilligt wird, und nicht der Verfolgung zivilrechtlicher Ansprüche der Anzeigestellerin oder Dritter dienen. b) Das Europäische Übereinkommen über die Rechtshilfe in Strafsachen (EUeR; SR 0.351.1) regelt, wie sein Name bereits zu erkennen gibt, die internationale Rechtshilfe in Strafsachen. Voraussetzung ist somit, dass die Rechtshilfe für ein Verfahren hinsichtlich strafbarer Handlungen beantragt wird, zu deren Verfolgung die Justizbehörden des ersuchenden Staates zuständig sind ( Art. 1 Abs. 1 EUeR ). Dagegen ist es grundsätzlich gleichgültig, ob das Strafverfahren von Amtes wegen oder auf Anzeige des Geschädigten eingeleitet wurde und aus welchen Motiven die Strafanzeige erfolgt ist. Ein Missbrauch des Rechtshilfeverfahrens läge allenfalls dann vor, wenn das Strafverfahren bloss vorgeschoben wäre, d.h. die beantragten Massnahmen in Wirklichkeit ausschliesslich der Beweisführung in einem Zivilverfahren dienten, unter Umgehung der Bestimmungen über die Rechtshilfe in Zivilsachen (vgl. Übereinkommen über die Beweisaufnahme im Ausland in Zivil- oder Handelssachen vom 18. März 1970; AS 1994 2824). Hierfür liegen keine Anhaltspunkte vor: Aus dem Rechtshilfegesuch geht hervor, dass die Staatsanwaltschaft II bei dem Landgericht Berlin ein Ermittlungsverfahren wegen Verdachts der Untreue gegen 13 Angeschuldigte führt und die beantragten Massnahmen diesen Ermittlungen dienen. Es besteht kein Anlass, an der Richtigkeit dieser Aussage zu zweifeln. c) Eine andere Frage ist, ob die schweizerischen Behörden verpflichtet sind, die Rechtshilfe von einer Zusicherung des ersuchenden Staates abhängig zu machen, dass die übermittelten Unterlagen und Auskünfte nicht auch zu zivilrechtlichen Zwecken verwendet werden. aa) Das EUeR verlangt zwar, dass die Rechtshilfe für ein strafrechtliches Ermittlungsverfahren erfolgt ( Art. 1 Abs. 1 EUeR ); es enthält aber keine Einschränkung der weiteren Verwendung der auf dem Rechtshilfeweg erlangten BGE 122 II 134 S. 138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ist, ergibt sich dagegen aus dem innerstaatlichen Recht ( BGE 107 Ib 264 E. 4a S. 269 f.). Damit ist in erster Linie auf das Rechtshilfegesetz, insbesondere Art. 67 IRSG (SR. 351.1) abzustellen. Zu dessen Auslegung kann Art. 5 des Staatsvertrags zwischen der Schweizerischen Eidgenossenschaft und den Vereinigten Staaten von Amerika über gegenseitige Rechtshilfe in Strafsachen vom 25. Mai 1973 (RVUS; SR 0.351.933.6) herangezogen werden, der das Prinzip der Spezialität sowie seine Ausnahmen ausführlich regelt und bei Erlass des IRSG zugrunde gelegt wurde (vgl. Botschaft des Bundesrates zu einem Bundesgesetz über die internationale Rechtshilfe in Strafsachen vom 8. März 1976, BBl 1976 II S. 465; WERNER DE CAPITANI, Internationale Rechtshilfe - eine Standortbestimmung, ZSR 100/1981 II. Halbband Ziff. 2.2.2. S. 405; CURT MARKEES, Internationale Rechtshilfe in Strafsachen, Das Bundesgesetz vom 20. März 1981 (IRSG), Schweizerische Juristische Kartothek Nr. 423 N 3.034 Ziff. 4 S. 26 f.). bb) Gemäss Art. 67 Abs. 1 Satz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BGE 122 II 134 S. 139 eines gemeinrechtlichen und gleichzeitig eines politischen, militärischen oder fiskalischen Delikts (unter Ausschluss des Abgabebetrugs) erfüllen ( BGE 107 Ib 264 E. 4a S. 269 f.). cc) Dagegen steht Art. 67 Abs. 1 IRSG - vorbehältlich der Zustimmung des Bundesamtes für Polizeiwesen - einer zivilprozessualen Verwendung der im Rechtshilfeverfahren erlangten Auskünfte an sich nicht entgegen. Dies gilt jedenfalls, sofern es sich um die Forderungen des durch die Straftat Geschädigten handelt: Es wäre widersinnig, Rechtshilfe zur Verurteilung eines Straftäters zu leisten, aber gleichzeitig dem Geschädigten zu verwehren, sich auf die Ergebnisse der Rechtshilfeleistung zu berufen, um zu seinem Recht zu kommen (LIONEL FREI, Der Rechtshilfevertrag mit den USA und die Aufhebung geschützter Geheimnisse, Schweizerische Juristische Kartothek Nr. 67b S. 94; Wegleitung des Bundesamtes für Polizeiwesen zur Internationalen Rechtshilfe in Strafsachen, Stand 1. Juli 1990, S. 30; CURT MARKEES, a.a.O., Karte Nr. 423c N 3.115 Ziff. 2 S. 4). Dies muss unabhängig davon gelten, ob über die zivilrechtlichen Forderungen des Geschädigten im Adhäsionsverfahren oder in einem separaten Zivilprozess entschieden wird. Diese Auslegung von Art. 67 Abs. 1 IRSG wird durch Art. 5 Abs. 3 lit. a RVUS gestützt, der ausdrücklich die Verwendung von Material in einem Gerichtsverfahren über die Leistung von Schadenersatz erlaubt im Zusammenhang mit einem Verfahren, für das Rechtshilfe gewährt worden ist. dd) Dagegen liesse sich einwenden, der durch eine Straftat Geschädigte werde damit beweismässig besser gestellt als andere Kläger, die auf die Gewährung zivilrechtlicher Rechtshilfe angewiesen sind und denen das Bankgeheimnis in weiterem Umfang entgegengehalten werden kann als bei der Rechtshilfe in Strafsachen. Es ist jedoch ein legitimer Nebenzweck des strafrechtlichen Verfahrens, dem Geschädigten zu seinem Recht zu verhelfen (vgl. u.a. Art. 1 des Bundesgesetzes über die Hilfe an Opfer von Straftaten vom 4. Oktober 1991; SR 312.5). Unter diesem Blickwinkel erscheint die beweismässige Besserstellung des durch eine Straftat Geschädigten gegenüber "normalen" Forderungsklägern durchaus gerechtfertigt. ee) Nach dem Gesagten schliesst Art. 67 Abs. 1 IRSG die Verwendung von Auskünften des strafrechtlichen Rechtshilfeverfahrens in zivilrechtlichen Verfahren nicht von vornherein aus. Es besteht daher kein Anlass, die von den Beschwerdeführerinnen gewünschte Zusicherung einzuholen. BGE 122 II 134 S. 140 Verfahrensmässig ist die zivilrechtliche Weiterverwendung dieser Auskünfte allerdings an die Zustimmung des Bundesamtes für Polizeiwesen gebunden ( Art. 67 Abs. 1 Satz 2 IRSG , Art. 34 Abs. 1 lit. b IRSV [SR 351.11]), das somit die Möglichkeit hat, eventuelle Missbräuche zu verhindern. Gegen dessen Verfügung kann nach derzeit geltendem Recht Einsprache und sodann Verwaltungsgerichtsbeschwerde ans Bundesgericht erhoben werden ( Art. 24 Abs. 1 und Art. 25 Abs. 1 IRSG ). Es wird Aufgabe des Bundesamtes sein sicherzustellen, dass dieser Zustimmungsvorbehalt vor Übermittlung der Unterlagen an die deutschen Behörden klar zum Ausdruck gebracht wird. ff) Die Frage, inwieweit anderen Gläubigern zum Zwecke der Prozessführung Einsicht in die Rechtshilfeakten in der Schweiz gewährt werden kann, ist nicht Gegenstand des vorliegenden Verfahrens. Auf die diesbezüglichen Ausführungen der Beschwerdeführerinnen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