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395</w:t>
      </w:r>
    </w:p>
    <w:p>
      <w:r>
        <w:t>Bundesgericht (BGE), 1965-11-15, FR</w:t>
      </w:r>
    </w:p>
    <w:p>
      <w:r>
        <w:rPr>
          <w:b/>
        </w:rPr>
        <w:t xml:space="preserve">Quelle: </w:t>
      </w:r>
      <w:r>
        <w:t>https://mcp.opencaselaw.ch/entscheid/bge_BGE_122_III_395</w:t>
      </w:r>
    </w:p>
    <w:p>
      <w:r>
        <w:t>FR: ATF 122 III 395</w:t>
      </w:r>
    </w:p>
    <w:p>
      <w:r>
        <w:t>IT: DTF 122 III 395</w:t>
      </w:r>
    </w:p>
    <w:p>
      <w:pPr>
        <w:pStyle w:val="Heading2"/>
      </w:pPr>
      <w:r>
        <w:t>Regeste</w:t>
      </w:r>
    </w:p>
    <w:p>
      <w:r>
        <w:t>Regeste Art. 66 Abs. 3 SchKG; Zustellung von Betreibungsurkunden im Ausland (Israel). Anwendung des Haager Übereinkommens vom 15. November 1965 über die Zustellung gerichtlicher und aussergerichtlicher Schriftstücke im Ausland in Zivil- und Handelssachen. Gültigkeit einer dem israelischen Recht entsprechenden Zustellung durch Anheften an die Wohnungstür des Empfängers (E. 2).</w:t>
      </w:r>
    </w:p>
    <w:p>
      <w:r>
        <w:t>Regeste Art. 66 al. 3 LP; notification des actes de poursuite à l'étranger (Israël). Application de la Convention de La Haye du 15 novembre 1965 relative à la signification et la notification à l'étranger des actes judiciaires et extrajudiciaires en matière civile ou commerciale. Validité d'une notification effectuée, conformément au droit israélien, par affichage sur la porte du destinataire (consid. 2).</w:t>
      </w:r>
    </w:p>
    <w:p>
      <w:r>
        <w:t>Regesto Art. 66 cpv. 3 LEF; notificazione di atti esecutivi all'estero (Israele). Applicazione della convenzione dell'Aja del 15 novembre 1965 relativa alla notificazione all'estero degli atti giudiziari e extragiudiziari in materia civile o commerciale. Validità di una notificazione effettuata conformemente al diritto israeliano mediante affissione sulla porta del destinatario (consid. 2).</w:t>
      </w:r>
    </w:p>
    <w:p>
      <w:pPr>
        <w:pStyle w:val="Heading2"/>
      </w:pPr>
      <w:r>
        <w:t>Erwägungen</w:t>
      </w:r>
    </w:p>
    <w:p>
      <w:r>
        <w:rPr>
          <w:b/>
        </w:rPr>
        <w:t>E. 2</w:t>
      </w:r>
    </w:p>
    <w:p>
      <w:r>
        <w:t>A teneur de l' art. 66 al. 3 LP , lorsque le débiteur demeure à l'étranger, il est procédé à la notification par l'intermédiaire des autorités de sa résidence ou par la poste. S'il existe une convention internationale en la matière, l'office des poursuites doit se conformer à ses dispositions (GILLIÉRON, Poursuite pour dettes, faillite et concordat, 3e éd., Lausanne 1993, p. 104 ch. 4 et jurisprudence citée). a) Israël et la Suisse ont tous deux ratifié les Conventions de la Haye du 1er mars 1954 relative à la procédure civile (RS 0.274.12) et du 15 novembre 1965 relative à la signification et la notification à l'étranger des actes judiciaires et extrajudiciaires en matière civile ou commerciale (RO 1994 2809, 1995 935). La seconde convention, entrée en vigueur le 13 octobre 1972 pour Israël et le 1er janvier 1995 pour la Suisse (RO 1995 935) - cette dernière estimant que la convention s'applique de manière exclusive entre les Etats contractants (RO 1995 958) -, remplace les articles 1 à 7 de la convention de 1954 (art. 22). Les griefs du recourant doivent dès lors être examinés exclusivement sous l'angle de l'art. 5 de la convention de 1965, lequel prévoit: "L'Autorité centrale de l'Etat requis procède ou fait procéder à la signification ou à la notification de l'acte: a) soit selon les formes prescrites par la législation de l'Etat requis pour la signification ou la notification des actes dressés dans ce pays et qui sont destinés aux personnes se trouvant sur son territoire; b) soit selon la forme particulière demandée par le requérant, pourvu que celle-ci ne soit pas incompatible avec la loi de l'Etat requis. Sauf le cas prévu à l'alinéa premier, lettre b), l'acte peut toujours être remis au destinataire qui l'accepte volontairement. ..." L'autorité centrale chargée, en Israël, d'assumer la charge de recevoir les demandes de signification ou de notification en provenance d'un autre Etat contractant et d'y donner suite est "le Directeur of Courts, Directorate of BGE 122 III 395 S. 397 Courts, Russian Compound, Jerusalem" (art. 2 de la convention de 1965; RO 1995 951). b) C'est manifestement à tort que le recourant reproche à l'autorité cantonale de surveillance de s'être écartée sans motif de l'exigence de remise en mains propres découlant selon lui du texte en question. Avec l'autorité cantonale et les intimés, il y a lieu en effet de constater que ce texte n'exige nullement une notification en mains propres; il prévoit seulement que la remise de l'acte au débiteur qui l'accepte est suffisante. c) En l'absence de règles conventionnelles sur la forme de la notification, le droit étranger fait règle ( ATF 109 III 97 consid. 2 p. 100). Or, selon les constatations - non critiquées d'ailleurs - de la décision attaquée, l'art. 489 du Code de procédure civile israélien autorise la notification par affichage sur la porte du destinataire; il appartient toutefois au tribunal saisi de déclarer s'il accepte une telle notification ou non. L'autorité cantonale de surveillance retient qu'il y a eu en l'espèce acceptation du tribunal compétent, ce qui résulte de l'attestation de la "Magistrate Court of Jerusalem" - visée par l'autorité centrale israélienne ("la Directorate of Courts") - constatant l'exécution de la notification requise. Estimant qu'il ne lui appartient pas de contredire l'autorité judiciaire étrangère sur le contenu de son droit national, elle conclut que la notification des actes litigieux est intervenue valablement en droit israélien. Les critiques du recourant concernant l'application du droit israélien sont irrecevables, car la conformité au droit étranger de la notification d'un acte de poursuite à l'étranger est soustraite au pouvoir d'examen de la Chambre de céans ( ATF 109 III 97 consid. 2 p. 100; ATF 96 III 62 consid. 1 p. 65 et les références). Quant à son grief d'abus ou d'excès du pouvoir d'appréciation, il est dénué de toute consistance. Le recourant se contente en effet d'affirmer qu'il n'a jamais trouvé les actes litigieux devant sa porte, qu'un tiers a dû les arracher et que la réponse de l'autorité israélienne - partant celle de l'autorité suisse - aurait été différente si elle avait eu connaissance des circonstances exactes du cas d'espèce. Mais il ne fait état d'aucune de ces circonstances prétendument ignorées et ne démontre pas que l'autorité cantonale a retenu des critères inappropriés. Mal fondé, dans la mesure où il est recevable, le recours ne peut en conséquence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