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358</w:t>
      </w:r>
    </w:p>
    <w:p>
      <w:r>
        <w:t>Bundesgericht (BGE), 1996-01-01, DE</w:t>
      </w:r>
    </w:p>
    <w:p>
      <w:r>
        <w:rPr>
          <w:b/>
        </w:rPr>
        <w:t xml:space="preserve">Quelle: </w:t>
      </w:r>
      <w:r>
        <w:t>https://mcp.opencaselaw.ch/entscheid/bge_BGE_122_III_358</w:t>
      </w:r>
    </w:p>
    <w:p>
      <w:r>
        <w:t>FR: ATF 122 III 358</w:t>
      </w:r>
    </w:p>
    <w:p>
      <w:r>
        <w:t>IT: DTF 122 III 358</w:t>
      </w:r>
    </w:p>
    <w:p>
      <w:pPr>
        <w:pStyle w:val="Heading2"/>
      </w:pPr>
      <w:r>
        <w:t>Regeste</w:t>
      </w:r>
    </w:p>
    <w:p>
      <w:r>
        <w:t>Regeste Art. 739 ZGB; Mehrbelastung einer Dienstbarkeit. Eine Mehrbelastung einer Dienstbarkeit ist nach Art. 739 ZGB dann unzulässig, wenn sie erheblich ist. Bei der Beurteilung der Erheblichkeit sind das Interesse des herrschenden und die Belastung des dienenden Grundstückes bei der Begründung der Dienstbarkeit mit der heutigen Interessenlage zu vergleichen. Einige zusätzliche Fahrbewegungen pro Tag als Folge einer intensiveren Nutzung des berechtigten Grundstückes führen nicht zu einer erheblichen Mehrbelastung eines "unbedingten Fuss- und Fahrwegrechtes" (E. 2c).</w:t>
      </w:r>
    </w:p>
    <w:p>
      <w:r>
        <w:t>Regeste Art. 739 CC; aggravation d'une servitude. L'aggravation d'une servitude est inadmissible, selon l'art. 739 CC, si elle est importante. Pour en juger, il faut mettre l'intérêt du fonds dominant et la charge du fonds servant au moment de la constitution de la servitude en balance avec les intérêts respectifs actuels. Quelques mouvements de voiture supplémentaires par jour résultant d'une utilisation plus intensive du fonds bénéficiaire ne constituent pas une aggravation importante d'un "droit inconditionnel de passage à pied et en voiture" (consid. 2c).</w:t>
      </w:r>
    </w:p>
    <w:p>
      <w:r>
        <w:t>Regesto Art. 739 CC; aggravamento di una servitù. L'aggravamento di una servitù è inammissibile giusta l'art. 739 CC, se esso risulta rilevante. Per determinare la rilevanza si paragona l'interesse per il fondo dominante e l'onere per il fondo serviente al momento della costituzione della servitù con i rispettivi interessi attuali. Alcuni passaggi supplementari giornalieri di veicoli causati da uno sfruttamento più intenso del fondo dominante non costituiscono un aggravamento rilevante di un "incondizionato diritto di passo pedonale e veicolare" (consid. 2c).</w:t>
      </w:r>
    </w:p>
    <w:p>
      <w:pPr>
        <w:pStyle w:val="Heading2"/>
      </w:pPr>
      <w:r>
        <w:t>Erwägungen</w:t>
      </w:r>
    </w:p>
    <w:p>
      <w:r>
        <w:rPr>
          <w:b/>
        </w:rPr>
        <w:t>E. 2</w:t>
      </w:r>
    </w:p>
    <w:p>
      <w:r>
        <w:t>c) Im weiteren stellt sich die Frage, ob der Einbau zusätzlicher Wohnungen in einem bestehenden Wohnhaus zu einer quantitativen Mehrbeanspruchung der Dienstbarkeit führt, die dem belasteten Grundstück nicht zugemutet werden darf. BGE 122 III 358 S. 359 Gemäss Art. 739 ZGB darf dem Verpflichteten nicht allein aufgrund der Tatsache, dass sich die Bedürfnisse des berechtigten Grundstückes geändert haben, eine Mehrbelastung zugemutet werden. Gemeint ist dabei nach einhelliger Rechtsprechung und Lehrmeinung eine erhebliche Mehrbelastung, denn das Tatbestandsmerkmal der Mehrbelastung schliesst die Erheblichkeit bereits ein, da eine unerhebliche Mehrbelastung gar keine Mehrbelastung ist ( BGE 94 II 145 E. 6 S. 148; BGE 100 II 105 E. 3c S. 118; LIVER, Berner Kommentar, N. 32 f. zu Art. 739; RIEMER, Die beschränkten dinglichen Rechte, Grundriss des schweizerischen Sachenrechts, Band II, Rz. 10 zu § 12; Steinauer, Les droits réels, 2. Auflage, Bern 1994, Rz. 2298). Bei der Beurteilung der Erheblichkeit ist das Interesse des herrschenden und die Belastung des dienenden Grundstückes bei der Begründung der Dienstbarkeit mit der heutigen Interessenlage zu vergleichen ( BGE 100 II 105 E. 3c S. 118). Bei dieser Interessenabwägung steht dem Richter Ermessen zu (LIVER, a.a.O., N. 32 zu Art. 739 ZGB ), dessen Ausübung vom Bundesgericht nur mit Zurückhaltung geprüft wird ( BGE 119 II 157 E. 2a S. 159 mit Hinweis). Im vorliegenden Fall ist davon auszugehen, dass das Wohnhaus auf dem berechtigten Grundstück bislang von den Personen zweier Wohnungen bzw. Haushalte bewohnt wurde, welche die Dienstbarkeit beanspruchten. Nach Realisierung des Projektes werden es fünf Wohnungen bzw. Haushalte sein, wovon allerdings drei Wohnungen sehr klein sein werden. Dadurch wird ein vergrösserter Personenkreis zur Benützung der Dienstbarkeit berechtigt sein und es muss mit einer intensiveren Benutzung des Wegrechtes gerechnet werden. Dennoch ist aus verschiedenen Gründen nicht auf eine unzulässige Mehrbelastung zu schliessen. Zunächst ist festzuhalten, dass sich die heutige Interessenlage der Parteien im Vergleich zu derjenigen im Zeitpunkt der Errichtung der Dienstbarkeit nicht erheblich verändert hat. Dem Interesse des Beklagten an einer besseren Nutzung seiner Liegenschaft - das sich auch mit dem allgemeinen Interesse einer zeitgemässen Bodennutzung deckt - stehen nur geringfügige Auswirkungen auf den Kläger gegenüber, die ihm zugemutet werden können. Der Kläger spricht zwar von einem "erheblichen Mehrverkehr", doch macht er nicht geltend, es sei mit einem intensiven und ständigen Verkehr zu rechnen; vielmehr wird es sich lediglich um einige zusätzliche Fahrbewegungen pro Tag handeln. Weiter ist zu berücksichtigen, dass die Vermehrung der Wohnungszahl zwar eine intensivere Beanspruchung BGE 122 III 358 S. 360 der Dienstbarkeit erwarten lässt, dass eine solche aber in gewissem Rahmen auch möglich und zu dulden gewesen wäre, wenn die Zahl der Bewohner ohne Umbau zugenommen hätte. Schliesslich war angesichts der offenen Umschreibung des Dienstbarkeitsinhaltes schon bei der Begründung des "unbedingten Fuss- und Fahrwegrechtes" vernünftigerweise mit einer gewissen Ausdehnung der Beanspruchung der Dienstbarkeit zu rechnen (vgl. TUOR/SCHNYDER/SCHMID, Das schweizerische Zivilgesetzbuch, 11. Auflage, Zürich 1995, S. 785; STEINAUER, a.a.O., Rz. 2299b). Die Rechtsprechung hat denn auch in vergleichbaren Fällen eine unzulässige Mehrbelastung einer Dienstbarkeit stets verneint, wenn durch Umbauten die Anzahl der Benützer steigt und dadurch ein Zugang stärker begangen oder befahren wird (Urteil des Bundesgerichtes vom 26. Mai 1992, publiziert in SJ 114 [1992] 597 E. 3b S. 601 f., wo es um vier oder fünf zusätzliche Fahrzeuge ging; ZR 90 [1991] Nr. 21 S. 70 ff., vom Bundesgericht bestätigt im unveröffentlichten Entscheid vom 15. April 1991 i.S. F.Z u. E.W. gegen F.K., in welchem Fall die Erstellung von acht Parkplätzen zu beurteilen war; vgl. auch die umfangreiche ältere Kasuistik in HANS FLEISCHLI, Die Mehrbelastung nach Art. 739 ZGB , Diss. Freiburg 1980, S. 175 ff.). Unter Berücksichtigung der Zurückhaltung, die sich das Bundesgericht bei Ermessensfragen auferlegt, kann im vorliegenden Fall nicht von einer unzulässigen Mehrbeanspruchung der Dienstbarkeit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