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34</w:t>
      </w:r>
    </w:p>
    <w:p>
      <w:r>
        <w:t>Bundesgericht (BGE), 1996-01-01, DE</w:t>
      </w:r>
    </w:p>
    <w:p>
      <w:r>
        <w:rPr>
          <w:b/>
        </w:rPr>
        <w:t xml:space="preserve">Quelle: </w:t>
      </w:r>
      <w:r>
        <w:t>https://mcp.opencaselaw.ch/entscheid/bge_BGE_122_III_34</w:t>
      </w:r>
    </w:p>
    <w:p>
      <w:r>
        <w:t>FR: ATF 122 III 34</w:t>
      </w:r>
    </w:p>
    <w:p>
      <w:r>
        <w:t>IT: DTF 122 III 34</w:t>
      </w:r>
    </w:p>
    <w:p>
      <w:pPr>
        <w:pStyle w:val="Heading2"/>
      </w:pPr>
      <w:r>
        <w:t>Regeste</w:t>
      </w:r>
    </w:p>
    <w:p>
      <w:r>
        <w:t>Regeste Art. 19 Abs. 1 SchKG; Art. 15 SchKG; Art. 2 Abs. 3 SchKG. Anfechtungsgegenstand im Rekursverfahren gemäss Art. 19 Abs. 1 SchKG ist immer ein gesetzwidriger Entscheid einer kantonalen Aufsichtsbehörde (E. 1). Im vorliegenden Fall besteht auch kein Anlass, gestützt auf Art. 15 SchKG zu den aufgeworfenen Fragen Stellung zu nehmen; denn es liegt in der alleinigen Kompetenz der Kantone, ob sie einem Betreibungsamt die Zusammenarbeit mit einem ausserkantonalen EDV-Anbieter erlauben wollen oder nicht (E. 2).</w:t>
      </w:r>
    </w:p>
    <w:p>
      <w:r>
        <w:t>Regeste Art. 19 al. 1 LP; art. 15 LP; art. 2 al. 3 LP. L'objet du recours de l'art. 19 al. 1 LP est toujours une décision prise contrairement à la loi par une autorité cantonale de surveillance (consid. 1). Une intervention du Tribunal fédéral sur la base de l'art. 15 LP ne se justifie pas dans le cas particulier: les cantons sont en effet seuls compétents pour décider si un office des poursuites peut ou non recourir aux services d'un centre de traitement informatique extérieur au canton (consid. 2).</w:t>
      </w:r>
    </w:p>
    <w:p>
      <w:r>
        <w:t>Regesto Art. 19 cpv. 1 LEF; art. 15 LEF; art. 2 cpv. 3 LEF. Oggetto di ricorso ai sensi dell'art. 19 cpv. 1 LEF è sempre una decisione contraria alla legge emessa dall'autorità cantonale di vigilanza (consid. 1). In concreto non sono dati i presupposti affinché il Tribunale federale intervenga sulla base dell'art. 15 LEF, atteso che rientra nelle competenze dei Cantoni sapere se un ufficio possa o meno far capo ai servizi di un centro di elaborazione dati esterno al Cantone (consid. 2).</w:t>
      </w:r>
    </w:p>
    <w:p>
      <w:pPr>
        <w:pStyle w:val="Heading2"/>
      </w:pPr>
      <w:r>
        <w:t>Erwägungen</w:t>
      </w:r>
    </w:p>
    <w:p>
      <w:r>
        <w:rPr>
          <w:b/>
        </w:rPr>
        <w:t>E. 1</w:t>
      </w:r>
    </w:p>
    <w:p>
      <w:r>
        <w:t>Der Beschluss der Verwaltungskommission des Obergerichts des Kantons Zürich kann auf keinen Fall mit Rekurs gemäss Art. 19 Abs. 1 SchKG an die Schuldbetreibungs- und Konkurskammer des Bundesgerichts weitergezogen werden; denn Anfechtungsgegenstand im Rekursverfahren ist nach der soeben zitierten Bestimmung immer ein gesetzwidriger Entscheid einer kantonalen Aufsichtsbehörde. Dem bleibt nur beizufügen, dass die Rüge der Verletzung verfassungsmässiger Rechte im Rahmen eines Rekurses gemäss Art. 19 Abs. 1 SchKG unzulässig gewesen wäre (Art. 43 Abs. 1 in Verbindung mit Art. 81 OG ; BGE 117 III 44 E. 2a; POUDRET/SANDOZ-MONOD, N. 1.2.2 zu Art. 79 OG ).</w:t>
      </w:r>
    </w:p>
    <w:p>
      <w:r>
        <w:rPr>
          <w:b/>
        </w:rPr>
        <w:t>E. 2</w:t>
      </w:r>
    </w:p>
    <w:p>
      <w:r>
        <w:t>Es besteht auch kein Anlass, gestützt auf Art. 15 SchKG Stellung zu den von der Stadt Schlieren aufgeworfenen Fragen zu nehmen, wie dies etwa in BGE 103 III 76 und BGE 101 III 65 zwecks grundsätzlicher Klärung der Anwendung von Vorschriften des Bundesgesetzes über Schuldbetreibung und Konkurs geschehen ist. Klarerweise liegt es in der alleinigen Kompetenz der Kantone, darüber zu entscheiden, ob sie einem Betreibungsamt die Zusammenarbeit mit einem ausserkantonalen EDV-Anbieter - "Outsourcing", wie dies in der vorliegenden Rechtsschrift genannt wird - erlauben wollen oder nicht ( Art. 2 Abs. 3 SchKG ). Die Schuldbetreibungs- und Konkurskammer des Bundesgerichts hat die Richtlinien für die Einführung der EDV bei den Betreibungsämtern des Kantons Zürich geprüft, soweit dies aus der Sicht des Bundesrechts erforderlich war, und mit Schreiben vom 21. November 1988 die Bewilligung für deren Inkraftsetzung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