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195</w:t>
      </w:r>
    </w:p>
    <w:p>
      <w:r>
        <w:t>Bundesgericht (BGE), 1996-01-01, FR</w:t>
      </w:r>
    </w:p>
    <w:p>
      <w:r>
        <w:rPr>
          <w:b/>
        </w:rPr>
        <w:t xml:space="preserve">Quelle: </w:t>
      </w:r>
      <w:r>
        <w:t>https://mcp.opencaselaw.ch/entscheid/bge_BGE_122_III_195</w:t>
      </w:r>
    </w:p>
    <w:p>
      <w:r>
        <w:t>FR: ATF 122 III 195</w:t>
      </w:r>
    </w:p>
    <w:p>
      <w:r>
        <w:t>IT: DTF 122 III 195</w:t>
      </w:r>
    </w:p>
    <w:p>
      <w:pPr>
        <w:pStyle w:val="Heading2"/>
      </w:pPr>
      <w:r>
        <w:t>Regeste</w:t>
      </w:r>
    </w:p>
    <w:p>
      <w:r>
        <w:t>Regeste Aktiengesellschaft - Verantwortlichkeit des Verwaltungsrats (Art. 754 Abs. 1, Art. 722 aOR) - Verjährung (Art. 760 OR). Im Fall gültiger Kompetenzdelegation hat der Verwaltungsrat grundsätzlich nur für die "cura in eligendo, in custodiendo et in instruendo" einzustehen (E. 3a). Beispiel eines alleinigen Verwaltungsrats, der seine Sorgfaltspflicht offensichtlich verletzt hat (E. 3b) und dessen Untätigkeit adäquate Ursache des Schadens bildet, welchen die Gläubiger der konkursiten Gesellschaft erlitten haben (E. 4). Der indirekte Schaden des Gläubigers entspricht nicht notwendigerweise dem Betrag seiner kollozierten Forderung (E. 9a und b). Verjährung eines Teils der Forderungen des Gläubigers infolge verspäteter Erweiterung der Rechtsbegehren im kantonalen Verfahren (E. 9c).</w:t>
      </w:r>
    </w:p>
    <w:p>
      <w:r>
        <w:t>Regeste Société anonyme - responsabilité de l'administrateur (art. 754 al. 1, art. 722 aCO) - prescription (art. 760 CO). En cas de délégation valable de compétences, l'administrateur ne répond en principe que de la "cura in eligendo, in custodiendo et in instruendo" (consid. 3a). Exemple d'un administrateur unique qui a manifestement méconnu son obligation de diligence (consid. 3b) et dont la passivité est la cause adéquate du dommage causé aux créanciers de la société en faillite (consid. 4). Le dommage indirect du créancier ne correspond pas nécessairement au montant de sa créance colloquée (consid. 9a et b). Prescription d'une partie des prétentions du créancier à la suite d'une augmentation tardive des conclusions en procédure cantonale (consid. 9c).</w:t>
      </w:r>
    </w:p>
    <w:p>
      <w:r>
        <w:t>Regesto Società anonima - responsabilità dell'amministratore (art. 754 cpv. 1, art. 722 vCO) - prescrizione (art. 760 CO). Nel caso di valida delega di competenze, l'amministratore risponde di massima solo della "cura in eligendo, in custodiendo et in instruendo" (consid. 3a). Esempio di un amministratore unico che ha manifestamente misconosciuto il proprio obbligo di diligenza (consid. 3b) e la cui passività è causa adeguata del danno arrecato ai creditori della società in fallimento (consid. 4). Il danno indiretto del creditore non corrisponde necessariamente all'ammontare del credito collocato (consid. 9a e b). Prescrizione di parte delle pretese del creditore a seguito di un aumento tardivo delle domande in procedura cantonale (consid. 9c).</w:t>
      </w:r>
    </w:p>
    <w:p>
      <w:pPr>
        <w:pStyle w:val="Heading2"/>
      </w:pPr>
      <w:r>
        <w:t>Erwägungen</w:t>
      </w:r>
    </w:p>
    <w:p>
      <w:r>
        <w:rPr>
          <w:b/>
        </w:rPr>
        <w:t>E. 3</w:t>
      </w:r>
    </w:p>
    <w:p>
      <w:r>
        <w:t>a) L'art. 754 al. 1 aCO rend les personnes chargées de l'administration responsables du dommage qu'elles causent notamment à la société et aux BGE 122 III 195 S. 198 créanciers sociaux en manquant intentionnellement ou par négligence à leurs devoirs. De manière générale, l'administrateur doit faire preuve de toute la diligence nécessaire à la gestion des affaires sociales (art. 722 al. 1 aCO); il ne suffit pas d'observer la "diligentia quam in suis" ( ATF 113 II 52 consid. 3a, ATF 99 II 179 consid. 1). Il est tenu en particulier de surveiller les personnes chargées de la gestion et de la représentation, afin d'assurer à l'entreprise une activité conforme à la loi, aux statuts et aux règlements; il doit également se faire renseigner régulièrement sur la marche des affaires (art. 722 al. 2 ch. 3 aCO). En cas de délégation valable, l'administrateur ne répond pas personnellement des fautes commises par ses subordonnés, mais uniquement, en principe, de la "cura in eligendo, instruendo et custodiendo" (arrêt du 24 mai 1982 reproduit in SJ 1983 p. 96; EGLI, Aperçu de la jurisprudence récente du Tribunal fédéral relative à la responsabilité des administrateurs de société anonyme, in Publication CEDIDAC 8, 1987, p. 33; LEI RAVELLO, La responsabilité solidaire des organes de la société, thèse Lausanne 1992, n. 69, p. 49; FORSTMOSER, Die aktienrechtliche Verantwortlichkeit, 2e éd., n. 321, p. 115; HORBER, Die Kompetenzdelegation beim Verwaltungsrat der AG und ihre Auswirkungen auf die aktienrechtliche Verantwortlichkeit, thèse Zurich 1986, p. 113 ss; VON GREYERZ, Die Aktiengesellschaft, in Schweizerisches Privatrecht, VIII/2, p. 208; DE STEIGER, Le droit des sociétés anonymes en Suisse, p. 256; cf. également l'actuel art. 754 al. 2 CO ). b) En l'espèce, comme la cour cantonale l'a admis à juste titre, le défendeur V. a, par sa passivité et sa méconnaissance de la société qu'il était censé gérer, manqué fautivement à son devoir de diligence, singulièrement à son devoir de surveillance sur le directeur J. Avec le demandeur, il faut reconnaître par ailleurs que l'administrateur a violé son obligation de diligence d'une autre manière encore. Selon les faits constatés dans le jugement déféré, V. a eu connaissance, en janvier ou février 1981 par l'intermédiaire de G., de l'avis de recherche de J. diffusé dans l'émission "Aktenzeichen XY ungelöst". Il a alors démissionné de son poste d'administrateur de P. SA, avant de revenir sur sa décision après avoir reçu des assurances de la part du directeur. La cour cantonale estime à tort qu'il n'est pas possible d'apprécier la responsabilité de V. dans ce contexte, faute de connaître le contenu de l'émission télévisée et de son compte-rendu par G. à V. Certes, on ignore les informations exactes portées à la connaissance de l'administrateur. BGE 122 III 195 S. 199 Mais ce dernier a su, en tout cas, que J. était recherché par la police, via une émission de télévision consacrée, notoirement en Suisse alémanique, à des cas d'une certaine gravité. Du reste, il a démissionné sur-le-champ, ce qui démontre les graves soupçons que les informations reçues ont fait naître chez lui. Dans ces circonstances, il est incompréhensible qu'une fois revenu à son poste d'administrateur sur la foi des seules paroles rassurantes de J. lui-même, V. n'ait rien entrepris pour éviter un dommage à la société et à ses créanciers. Car, de deux choses l'une, soit il ignorait le type d'infractions pour lesquelles J. était recherché, soit il savait qu'il s'agissait d'escroqueries dans le cadre de sociétés. Dans le premier cas, il devait éclaircir le point auprès d'autres personnes que le principal intéressé, par exemple en s'adressant à des tiers qui auraient vu l'émission télévisée. Il aurait appris ainsi la nature des infractions reprochées au directeur de P. SA, ce qui, comme dans la seconde hypothèse, impliquait des mesures immédiates à l'encontre de J. C'est le lieu de rappeler qu'en présence d'informations propres à susciter l'inquiétude sur la probité d'un collaborateur chargé de certaines compétences, l'administrateur unique ne peut rester passif, sous peine de voir sa responsabilité engagée (cf. arrêt non publié du 4 novembre 1986 dans la cause C 158/1986, brièvement résumé par Egli, op.cit., p. 33). En l'espèce, le devoir de diligence commandait à l'administrateur d'écarter J. de la direction de la société. En effet, la "cura in eligendo" ne s'épuise pas dans le choix des personnes chargées de la gestion et de la représentation, mais englobe l'obligation de les révoquer si nécessaire, en particulier lorsque la surveillance exercée sur le délégué fait apparaître des carences graves (HORBER, op.cit., p. 117 et p. 119). On peut relever au passage qu'après la diffusion télévisée de l'avis de recherche, le conseil d'administration d'une autre société anonyme dirigée par J. a révoqué celui-ci de son poste de directeur. Certes, sur le vu de l'état de fait cantonal, on ignore si J. a été désigné au poste de directeur par l'administration ou, ce qui est allégué par le demandeur, par l'assemblée générale (cf. art. 717 al. 2 aCO). Le point n'est toutefois pas déterminant, car l'administration peut de toute manière suspendre un directeur nommé par l'assemblée générale, à défaut de pouvoir le révoquer (cf. art. 705 al. 1, art. 726 al. 1 et 2 aCO; BÜRGI, Commentaire zurichois, n. 15 ad art. 705 CO et n. 9 ad art. 726 CO ). Or, comme la révocation, la suspension permettait d'écarter J. des affaires, en tout cas jusqu'à l'assemblée générale qui devait se tenir dans un bref BGE 122 III 195 S. 200 délai (BÜRGI, op.cit., n. 18 et n. 21 ad art. 726 CO ). Il convient de souligner enfin que la situation particulière de P. SA, dont J. était à la fois directeur et propriétaire économique, n'est pas de nature à supprimer la violation coupable du devoir de diligence commise par V., bien au contraire. Dans une telle constellation, l'administrateur unique pouvait en effet d'autant moins facilement faire abstraction des informations reçues sur le passé de J., car le risque était grand que la société soit utilisée comme l'instrument d'escroqueries. En outre, si V. se considérait comme un "homme de paille" incapable de résister au directeur, sa faute n'en serait pas moins réelle, car celui qui se déclare prêt à assumer un mandat d'administrateur tout en sachant qu'il ne peut pas le remplir consciencieusement viole son obligation de diligence (arrêt non publié du 29 juin 1992 dans la cause 2A.132/1991, consid. 5 et 6).</w:t>
      </w:r>
    </w:p>
    <w:p>
      <w:r>
        <w:rPr>
          <w:b/>
        </w:rPr>
        <w:t>E. 4</w:t>
      </w:r>
    </w:p>
    <w:p>
      <w:r>
        <w:t>a) Les agissements délictueux du directeur ont causé un dommage considérable à la société et à ses créanciers, dont le demandeur fait partie. L'administrateur unique doit répondre de ce préjudice puisqu'il a méconnu son devoir de diligence, en n'exerçant aucune surveillance sur J. et en ne l'écartant pas de la direction des affaires sociales dès le début 1981. V. ne saurait prétendre à cet égard que le dommage se serait produit même s'il avait fait preuve de la diligence requise. En effet, son absence de réaction à l'endroit de J. au début 1981 a eu des conséquences indubitables sur la suite des événements puisque, selon l'état de fait du jugement attaqué, les pertes des créanciers de P. SA sont pratiquement toutes postérieures à janvier 1981. Par ailleurs, en laissant à un poste de directeur une personne sur laquelle pèsent de lourds soupçons d'escroquerie, le défendeur a sans conteste favorisé la survenance du préjudice. b) En ce qui concerne une éventuelle interruption du lien de causalité adéquate, il convient de préciser que, contrairement à ce que la cour cantonale a admis, les délits commis par le directeur ne sauraient être assimilés à la faute grave d'un tiers, excluant la responsabilité de l'administrateur unique. En effet, la responsabilité de l'administrateur à la suite d'une délégation de compétences est une sorte de responsabilité pour le fait d'autrui. Or, lorsqu'une personne répond en raison d'un manque de diligence dans le choix, la surveillance ou l'enseignement d'un subordonné, celui-ci n'est pas un tiers par rapport à celle-là; par définition, la faute grave du délégué ne peut pas constituer un facteur d'interruption de la causalité adéquate entre le comportement reproché à l'administrateur et le dommage BGE 122 III 195 S. 201 (cf. OFTINGER/STARK, Schweizerisches Haftpflichtrecht, Besonderer Teil, 4e éd., vol. II/1, n. 106 et note de pied 327, p. 324, à propos de l' art. 55 CO ). c) En conclusion, la cour cantonale a violé le droit fédéral, spécialement les art. 754 al. 1 et 722 aCO, en niant la responsabilité de l'administrateur unique de P. SA Le recours doit être admis sur ce point.</w:t>
      </w:r>
    </w:p>
    <w:p>
      <w:r>
        <w:rPr>
          <w:b/>
        </w:rPr>
        <w:t>E. 9</w:t>
      </w:r>
    </w:p>
    <w:p>
      <w:r>
        <w:t>La responsabilité de l'administrateur V. étant engagée, il convient de se pencher sur le dommage dont le demandeur réclame réparation. a) D'après les constatations cantonales, le créancier agit en vertu d'une cession des droits de la masse en faillite. Dans la faillite d'une société anonyme, les droits des créanciers et des actionnaires sont exercés en premier lieu par l'administration de la faillite, mais celle-ci peut céder l'action en responsabilité à tout actionnaire ou créancier (art. 756 al. 1 et 2 aCO). Jusqu'à l'arrêt publié aux ATF 117 II 432 , la jurisprudence distinguait selon que le créancier agissait en qualité de cessionnaire des droits de la masse sur la base de l' art. 260 LP ou en qualité de cessionnaire de l'action en responsabilité sur la base de l'art. 756 al. 2 aCO. Dans le premier cas, le créancier exerçait les droits que la société en faillite pouvait faire valoir contre ses administrateurs du chef de leur responsabilité (action sociale); dans le second cas, il faisait valoir le dommage indirect qu'il subissait comme créancier de la société ( ATF 111 II 182 consid. 3a, ATF 113 II 277 consid. 3). En cas de procès, il était admis, en principe, que le créancier cessionnaire exerçait les deux actions et qu'il était ainsi fondé à réclamer réparation non seulement de son propre dommage, mais également de tout le dommage subi par la société faillie du fait des agissements de ses administrateurs ( ATF 111 II 182 consid. 3c et 3d, ATF 113 II 277 consid. 4b). Assez récemment, le Tribunal fédéral a précisé cette jurisprudence en ce sens que les actions susmentionnées ne reposent pas sur deux fondements différents, mais sur un seul, soit le droit de l'ensemble des créanciers; les exceptions que les organes responsables pourraient faire valoir contre la société ou certains créanciers pris individuellement ne sont pas opposables à une telle action ( ATF 117 II 432 consid. 1b/hh). Du moment qu'il agit en vertu du droit de l'ensemble des créanciers, le cessionnaire peut obtenir réparation de tout le dommage causé directement à la société et indirectement à ses créanciers; l' ATF 111 II 182 se trouve ainsi confirmé dans son résultat (même arrêt, consid. 1b/gg et 1b/hh). BGE 122 III 195 S. 202 b) En l'espèce, le demandeur restreint son action au montant de sa créance colloquée, soit 1'727'224 fr. 25. Il faut en déduire que le créancier ne réclame réparation que de son propre dommage indirect. Cela étant, il convient de renvoyer la cause à la cour cantonale afin qu'elle arrête le montant du préjudice. A cet égard, il convient d'observer que l'état de collocation et la cession n'établissent que la qualité pour agir du créancier ( ATF 111 II 81 ); en revanche, la collocation définitive d'une créance ne préjuge pas de l'existence de la prétention, les effets de l'état de collocation étant limités à la procédure de faillite en cours (cf. entre autres ATF 119 III 124 consid. 2b et 3). c) Envisageant l'hypothèse où le recours serait admis, le défendeur V. soulève, comme en instance cantonale, l'exception de prescription pour la partie de la créance du demandeur dépassant 600'000 fr., montant réclamé dans le mémoire du 30 septembre 1985. En ce qui concerne la prescription de l'action en responsabilité déduite de l'art. 754 aCO, l' art. 760 al. 1 CO instaure un délai de cinq ans à partir du jour où la partie lésée a eu connaissance du dommage et de la personne responsable (délai relatif) et un délai de dix ans dès le jour où le fait dommageable s'est produit (délai absolu). Par ailleurs, si les dommages-intérêts dérivent d'une infraction, la prescription pénale, de plus longue durée, s'applique également à l'action civile ( art. 760 al. 2 CO ; cf. art. 60 al. 2 CO ). En principe, seule la prétention dirigée contre l'auteur de l'acte punissable est soumise à la prescription pénale plus longue, qui ne s'applique donc pas aux responsables qui ne répondent qu'en vertu du droit civil ( ATF 112 II 172 consid. 2c et la référence). Les exceptions touchent les héritiers de l'auteur de l'infraction (FORSTMOSER/HÉRITIER/LACHAT, FJS no 406, p. 7) ainsi que la personne morale qui répond du comportement punissable d'un organe ( ATF 112 II 172 consid. 2c p. 189/190). En l'occurrence, aucune infraction pénale n'est reprochée au défendeur V. Conformément à la jurisprudence rappelée ci-dessus, l'action contre l'administrateur est donc soumise aux délais de l' art. 760 al. 1 CO ; peu importe à cet égard que l'escroquerie commise par J. se trouve à l'origine du dommage subi par le demandeur. Le délai ordinaire de cinq ans ne commence pas à courir avant que la société soit déclarée en faillite ( ATF 102 II 353 consid. 2a p. 357). En principe, le créancier qui subit des pertes dans la faillite d'une société anonyme a connaissance du dommage lorsque l'état de collocation et l'inventaire ont été déposés ( ATF 116 II 158 consid. 4a et les arrêts BGE 122 III 195 S. 203 cités). En l'espèce, la faillite a été ouverte le 7 mars 1983 et sa clôture prononcée le 30 mai 1984. Le dépôt de la demande le 30 septembre 1985 est sans conteste intervenu en temps utile. Conformément à l' art. 135 ch. 2 CO , cet acte a interrompu le délai de prescription, mais seulement à concurrence de la somme réclamée, soit 600'000 fr. ( ATF 70 II 85 consid. 3 p. 93, ATF 60 II 199 consid. 4 p. 203). Or, le 2 mars 1992, le demandeur a augmenté ses conclusions en paiement à 1'727'224 fr. 25. A ce moment-là, la partie de la créance dépassant le montant de 600'000 fr. était prescrite. Il s'ensuit que l'exception de prescription soulevée par le défendeur V. est fondée en tant qu'elle concerne le montant de 1'127'224 fr. 25, soit environ les deux tiers de la prétention exercée par le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