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97</w:t>
      </w:r>
    </w:p>
    <w:p>
      <w:r>
        <w:t>Bundesgericht (BGE), 1995-08-16, FR</w:t>
      </w:r>
    </w:p>
    <w:p>
      <w:r>
        <w:rPr>
          <w:b/>
        </w:rPr>
        <w:t xml:space="preserve">Quelle: </w:t>
      </w:r>
      <w:r>
        <w:t>https://mcp.opencaselaw.ch/entscheid/bge_BGE_121_V_97</w:t>
      </w:r>
    </w:p>
    <w:p>
      <w:r>
        <w:t>FR: ATF 121 V 97</w:t>
      </w:r>
    </w:p>
    <w:p>
      <w:r>
        <w:t>IT: DTF 121 V 97</w:t>
      </w:r>
    </w:p>
    <w:p>
      <w:pPr>
        <w:pStyle w:val="Heading2"/>
      </w:pPr>
      <w:r>
        <w:t>Regeste</w:t>
      </w:r>
    </w:p>
    <w:p>
      <w:r>
        <w:t>Regeste Art. 23 und 26 BVG, Art. 331a OR: Invalidenrente und Übergangsrecht. Massgebend bei der Festsetzung von Invalidenleistungen sind grundsätzlich die Reglementsbestimmungen, welche im Zeitpunkt der Entstehung des Leistungsanspruchs galten und nicht jene, die bei Beginn der Arbeitsunfähigkeit, welche die Invalidität nach sich zog, in Kraft waren.</w:t>
      </w:r>
    </w:p>
    <w:p>
      <w:r>
        <w:t>Regeste Art. 23 et 26 LPP, art. 331a CO: rente d'invalidité et droit intertemporel. Sont en principe déterminantes pour fixer le montant des prestations d'invalidité les dispositions réglementaires en vigueur au moment de la naissance du droit aux prestations et non celles qui étaient applicables au moment où a débuté l'incapacité de travail qui a entraîné l'invalidité.</w:t>
      </w:r>
    </w:p>
    <w:p>
      <w:r>
        <w:t>Regesto Art. 23 e 26 LPP, art. 331a CO: rendita d'invalidità e diritto transitorio. Per stabilire l'importo delle prestazioni d'invalidità sono di principio determinanti le norme regolamentari vigenti al momento della nascita del diritto a prestazioni e non già quelle applicabili all'epoca in cui è iniziata l'incapacità lavorativa che ha causato l'invalidità.</w:t>
      </w:r>
    </w:p>
    <w:p>
      <w:pPr>
        <w:pStyle w:val="Heading2"/>
      </w:pPr>
      <w:r>
        <w:t>Erwägungen</w:t>
      </w:r>
    </w:p>
    <w:p>
      <w:r>
        <w:rPr>
          <w:b/>
        </w:rPr>
        <w:t>E. 1</w:t>
      </w:r>
    </w:p>
    <w:p>
      <w:r>
        <w:t>Selon la recourante, il convient d'appliquer en l'espèce les dispositions réglementaires en vigueur au moment où a débuté l'incapacité de travail qui a entraîné l'invalidité de l'intimé (avril 1991) et non, comme l'ont retenu les premiers juges, celles en vigueur au moment de la naissance du droit aux prestations (avril 1992). BGE 121 V 97 S. 100 a) Selon les principes généraux, auxquels se sont référés les premiers juges, l'on applique, en cas de changement de règles de droit, les dispositions en vigueur lors de la réalisation de l'état de fait qui doit être apprécié juridiquement ou qui a des conséquences juridiques ( ATF 119 Ib 110 ; ATF 119 V 4 consid. 2a; MOOR, Droit administratif, vol. I, 2e éd., p. 170). Ces principes valent également en cas de changement de dispositions réglementaires ou statutaires des institutions de prévoyance (SVR 1994, BVG no 12, p. 31 consid. 4a). Leur application ne soulève pas de difficultés en présence d'un événement unique, qui peut être facilement isolé dans le temps. S'agissant par exemple des prestations de survivants, l'on applique les règles en vigueur au moment du décès de l'assuré (SVR 1994, BVG no 12, p. 31), c'est-à-dire la date à laquelle naît le droit aux prestations du bénéficiaire ( ATF 119 V 279 consid. 2).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(MOOR, op.cit., p. 173; G. MÜLLER, in: Commentaire de la Constitution fédérale, art. 4 no 74; GRISEL, Traité de droit administratif, p. 149 sv.; IMBODEN/RHINOW, Schweizerische Verwaltungsrechtsprechung, 5e éd., vol. I no 16 B III; KÖLZ, Intertemporales Verwaltungsrecht, RDS 1983 II, p. 167 sv.). b) En matière d'assurances sociales, le Tribunal fédéral des assurances a par exemple jugé que l' art. 17 OPC - AVS/AI , lorsqu'il sert à évaluer la fortune dont un assuré s'est dessaisi, s'applique aussi aux éléments constitutifs du dessaisissement qui se sont réalisés avant l'entrée en vigueur de cette norme, le 1er janvier 1992 ( ATF 120 V 182 ; cf. également ATF 114 V 150 ). De même, pour déterminer si une atteinte à la santé a été causée exclusivement ou d'une manière nettement prépondérante par l'activité professionnelle, la jurisprudence prend en considération l'ensemble de l'activité professionnelle et donc aussi celle exercée avant le 1er janvier 1984, date de l'entrée en vigueur de la LAA ( ATF 119 V 200 ). Enfin, dans ce même ordre d'idées toujours, il a été jugé qu'une nouvelle réglementation sur l'échelonnement des rentes de l'AVS, valable depuis le 1er janvier 1979, était aussi applicable aux cas dans lesquels, lors de son entrée en vigueur, le droit à la rente existait déjà (ATF ATF 108 V 113 ). En ce qui concerne la prévoyance professionnelle, l'on applique les mêmes principes en cas de changement - même au détriment des assurés - des BGE 121 V 97 S. 101 dispositions réglementaires d'une institution de prévoyance. Le Tribunal fédéral des assurances a par exemple jugé, à propos de l'ancien art. 331b CO (prévoyance plus étendue), qu'une fondation de prévoyance en faveur du personnel était en droit d'appliquer rétroactivement et en défaveur de l'assuré une modification de l'échelle de la prestation de libre passage, pour autant que la nouvelle réglementation fût conforme à la loi et ne portât pas atteinte aux droits acquis ( ATF 117 V 221 ). c) En l'espèce, contrairement à l'avis de la recourante, l'état de fait dont découle le droit aux prestations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soit, dans le domaine de la prévoyance obligatoire et en règle ordinaire, à l'échéance de la période de carence d'une année selon l' art. 29 al. 1 let. b LAI (cf. art. 26 al. 1 LPP ).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w:t>
      </w:r>
    </w:p>
    <w:p>
      <w:r>
        <w:rPr>
          <w:b/>
        </w:rPr>
        <w:t>E. 2</w:t>
      </w:r>
    </w:p>
    <w:p>
      <w:r>
        <w:t>a) La recourante invoque à tort l' art. 23 LPP et la jurisprudence fédérale dégagée de cette norme, pour en déduire que l'"événement déterminant" est l'incapacité de travail dont découle l'invalidité. Selon l' art. 23 LPP , ont droit à des prestations d'invalidité les personnes qui sont invalides à raison de 50 pour cent au moins au sens de l'AI, et qui étaient assurées lorsqu'est survenue l'incapacité de travail dont la cause est à l'origine de l'invalidité. La jurisprudence a précisé, à ce propos, que les prestations d'invalidité sont dues par l'institution de prévoyance à laquelle l'intéressé est - ou était - affilié au moment de la survenance de l'événement assuré. Dans la prévoyance obligatoire, ce moment ne coïncide pas avec celui de la naissance du droit à une rente de l'assurance-invalidité selon l' art. 29 al. 1 let. b LAI , mais il correspond à la survenance de l'incapacité de travail dont la cause est à l'origine de l'invalidité. Sinon, il subsisterait, dans bien des cas, des lacunes dans la couverture d'assurance, notamment lorsque l'employeur, en raison BGE 121 V 97 S. 102 justement de la maladie du travailleur, résilie les rapports de travail avant l'écoulement de la période de carence d'une année instituée par l' art. 29 al. 1 let. b LAI ( ATF 120 V 116 consid. 2b, ATF 118 V 98 consid. 2b, 245 consid. 3c, 117 V 332 consid. 3). Outre ce but d'extension de la protection sociale, l' art. 23 LPP sert aussi à délimiter les responsabilités entre institutions de prévoyance. Une telle délimitation s'impose notamment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ATF 120 V 112 ; MOSER, Die Zweite Säule und ihre Tragfähigkeit, thèse Bâle 1992, p. 208) ou encore en cas d'augmentation du degré d'invalidité après la dissolution du rapport de prévoyance ( ATF 118 V 45 consid. 5). Mais l' art. 23 LPP ne revêt d'aucune manière le caractère d'une norme de droit intertemporel, susceptible de s'appliquer en cas de modification de l'ordre juridique (légal ou réglementaire). Il n'est donc d'aucun secours à la recourante. b) Le Tribunal fédéral des assurances a certes jugé, par ailleurs, qu'un assuré ne pouvait prétendre des prestations du régime obligatoire selon la LPP si sa capacité de travail était déjà réduite, avant l'entrée en vigueur de cette loi, dans une mesure suffisamment importante pour fonder le droit à des prestations ( ATF 118 V 99 consid. 2c; cf. également MEYER-BLASER, 1990-1994 : Die Rechtsprechung von Eidgenössischem Versicherungsgericht und Bundesgericht zum BVG, SZS 1995, p. 91). Mais cette solution découle du fait que, sauf exceptions expressément stipulées par la loi, toute rétroactivité de la LPP est exclue, même une rétroactivité impropre (BRÜHWILER, Die betriebliche Personalvorsorge in der Schweiz, p. 293 ss, plus particulièrement p. 300; RIEMER, Das Recht der beruflichen Vorsorge in der Schweiz, § 1 note 47, p. 41). En effet, l'allocation de prestations en vertu de la LPP suppose, par principe, la constitution d'un avoir de vieillesse qui n'a pu être accumulé qu'à partir du 1er janvier 1985 ( ATF 117 V 333 consid. 5b; RIEMER, ibidem). c) La recourante soutient aussi que la modification d'un règlement implique la conclusion d'un nouveau contrat de prévoyance. En l'espèce, ce nouveau contrat prévoit l'allocation de prestations qui vont au-delà de la prévoyance professionnelle obligatoire, en matière d'invalidité notamment. Or, dit la recourante, selon les règles sur le contrat d'assurance ( art. 9 BGE 121 V 97 S. 103 LCA ), le contrat est nul si, au moment où il a été conclu, le sinistre était déjà survenu. Dans le cas particulier, le risque était réalisé depuis le 24 avril 1991. La recourante invoque à ce propos l'arrêt ATF 118 V 158 . Cette référence de jurisprudence n'est toutefois pas pertinente. Dans l'affaire qui a fait l'objet de l'arrêt invoqué, le Tribunal fédéral des assurances, appliquant par analogie l' art. 9 LCA (p. 169 consid. 5c), a jugé qu'un assuré entièrement invalide (et au bénéfice d'une rente entière de l'assurance-invalidité) dès le début déjà des rapports de travail, ne pouvait bénéficier de prestations du régime de la prévoyance plus étendue (ni d'ailleurs, mais pour d'autres motifs, de l'assurance obligatoire selon la LPP). Or, la situation est différente dans le cas présent: contrairement à ce que soutient la recourante, il n'y a pas eu conclusion d'un nouveau contrat de prévoyance dès le 1er janvier 1992, mais une modification unilatérale du règlement par la Fondation, conformément à l'art. 68 du règlement en vigueur depuis le 1er janvier 1990, qui lui réservait expressément cette faculté (cf. ATF 117 V 226 consid. 4 et les références citées). On doit ainsi admettre qu'il y a eu continuité d'un seul et même rapport de prévoyance. C'est donc bien uniquement à la lumière des principes ci-dessus exposés, sur l'application dans le temps des règles juridiques, que doit être tranché le présent litige.</w:t>
      </w:r>
    </w:p>
    <w:p>
      <w:r>
        <w:rPr>
          <w:b/>
        </w:rPr>
        <w:t>E. 3</w:t>
      </w:r>
    </w:p>
    <w:p>
      <w:r>
        <w:t>Ces principes conduisent à admettre l'applicabilité du règlement de 1992. Aucun droit à la rente en faveur de l'intimé n'a pris naissance sous l'empire du règlement de 1990. Le nouveau règlement, entré en vigueur le 1er janvier 1992, ne contient aucune disposition transitoire qui déclarerait applicables les anciennes dispositions en cas d'incapacité de travail survenue avant cette date. La rente à laquelle l'intimé peut prétendre doit ainsi être calculée conformément aux dispositions nouvelles, comme l'ont admis les premiers juges. 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