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157</w:t>
      </w:r>
    </w:p>
    <w:p>
      <w:r>
        <w:t>Bundesgericht (BGE), 1995-05-15, DE</w:t>
      </w:r>
    </w:p>
    <w:p>
      <w:r>
        <w:rPr>
          <w:b/>
        </w:rPr>
        <w:t xml:space="preserve">Quelle: </w:t>
      </w:r>
      <w:r>
        <w:t>https://mcp.opencaselaw.ch/entscheid/bge_BGE_121_V_157</w:t>
      </w:r>
    </w:p>
    <w:p>
      <w:r>
        <w:t>FR: ATF 121 V 157</w:t>
      </w:r>
    </w:p>
    <w:p>
      <w:r>
        <w:t>IT: DTF 121 V 157</w:t>
      </w:r>
    </w:p>
    <w:p>
      <w:pPr>
        <w:pStyle w:val="Heading2"/>
      </w:pPr>
      <w:r>
        <w:t>Regeste</w:t>
      </w:r>
    </w:p>
    <w:p>
      <w:r>
        <w:t>Regeste Art. 23 Abs. 1, Art. 25 Abs. 3 aMVG: Rentenanpassung. Zur Anpassung rechtskräftig festgelegter altrechtlicher Renten der Militärversicherung.</w:t>
      </w:r>
    </w:p>
    <w:p>
      <w:r>
        <w:t>Regeste Art. 23 al. 1, art. 25 al. 3 aLAM: adaptation des rentes. De l'adaptation de rentes de l'assurance militaire de l'ancien droit, fixées par des décisions entrées en force.</w:t>
      </w:r>
    </w:p>
    <w:p>
      <w:r>
        <w:t>Regesto Art. 23 cpv. 1, art. 25 cpv. 3 vLAM: adattamento delle rendite. Dell'adattamento di rendite dell'assicurazione militare secondo il vecchio diritto, fissate per decisioni cresciute in giudicato.</w:t>
      </w:r>
    </w:p>
    <w:p>
      <w:pPr>
        <w:pStyle w:val="Heading2"/>
      </w:pPr>
      <w:r>
        <w:t>Erwägungen</w:t>
      </w:r>
    </w:p>
    <w:p>
      <w:r>
        <w:rPr>
          <w:b/>
        </w:rPr>
        <w:t>E. 1</w:t>
      </w:r>
    </w:p>
    <w:p>
      <w:r>
        <w:t>Gemäss Art. 109 des Militärversicherungsgesetzes vom 19. Juni 1992 (MVG) werden Versicherungsfälle, die im Zeitpunkt des Inkrafttretens dieses Gesetzes am 1. Januar 1994 noch hängig waren, in jenen Teilen nach dem neuen Recht beurteilt, die nicht anerkannt sind oder über die nicht verfügt wurde. Im vorliegenden Fall hat die Militärversicherung die Verfügung am 21. Oktober 1992 und damit unter der Herrschaft des Gesetzes vom 20. September 1949 erlassen, weshalb die Sache nach altem Recht zu beurteilen ist (aMVG).</w:t>
      </w:r>
    </w:p>
    <w:p>
      <w:r>
        <w:rPr>
          <w:b/>
        </w:rPr>
        <w:t>E. 2</w:t>
      </w:r>
    </w:p>
    <w:p>
      <w:r>
        <w:t>a) Da es sich bei der angefochtenen Verfügung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BGE 121 V 157 S. 159 Verfahrensbestimmungen festgestellt worden ist (Art. 132 in Verbindung mit Art. 104 lit. a und b sowie Art. 105 Abs. 2 OG ). b) Streitgegenstand im System der nachträglichen Verwaltungsrechtspflege ist das Rechtsverhältnis, welches - im Rahmen des durch die Verfügung bestimmten Anfechtungsgegenstandes - den aufgrund der Beschwerdebegehren effektiv angefochtenen Verfügungsgegenstand bildet. Nach dieser Begriffsumschreibung sind Anfechtungsgegenstand und Streitgegenstand identisch, wenn die Verwaltungsverfügung insgesamt angefochten wird. Streitig und als Frage des Bundesrechts frei zu prüfen ( Art. 104 lit. a OG ) ist einzig, ob das kantonale Gericht dadurch Bundesrecht verletzt hat, dass es die angefochtene Nichteintretensverfügung des BAMV aufhob und das Bundesamt verpflichtete, das Gesuch des Beschwerdegegners um Zusprechung einer Integritätsschadenrente materiell zu prüfen (vgl. BGE 117 V 122 Erw. 1).</w:t>
      </w:r>
    </w:p>
    <w:p>
      <w:r>
        <w:rPr>
          <w:b/>
        </w:rPr>
        <w:t>E. 3</w:t>
      </w:r>
    </w:p>
    <w:p>
      <w:r>
        <w:t>a) Kann von der Fortsetzung der ärztlichen Behandlung keine namhafte Besserung des Gesundheitszustandes erwartet werden, so ist eine Invalidenrente auszurichten, wenn der versicherte Gesundheitsschaden eine voraussichtlich bleibende Beeinträchtigung der Erwerbsfähigkeit hinterlässt, oder eine Integritätsrente, wenn er eine erhebliche Beeinträchtigung der körperlichen oder psychischen Integrität zur Folge hat ( Art. 23 Abs. 1 aMVG ). Die Rente für erhebliche Beeinträchtigung der körperlichen oder psychischen Integrität wird in Würdigung aller Umstände nach billigem Ermessen festgesetzt ( Art. 25 Abs. 1 aMVG ). Bei gleichzeitigem Vorliegen von Beeinträchtigungen der Erwerbsfähigkeit und erheblicher Beeinträchtigung der körperlichen oder psychischen Integrität wird nur eine Rente zugesprochen, bei deren Berechnung jedoch beiden Beeinträchtigungen Rechnung getragen wird ( Art. 25 Abs. 3 aMVG ). b) Die Rechtsprechung hat die Frage der Entschädigung beim Zusammentreffen von Erwerbsunfähigkeit und Integritätseinbusse im Verlaufe der Jahrzehnte unterschiedlich beantwortet. aa) Ausgehend von der gesetzlichen Ordnung, wonach nur eine Rente zuzusprechen ist, wurde ursprünglich der Integritätsschaden je nach dem Ausmass der Erwerbsunfähigkeit überhaupt nicht oder nur teilweise berücksichtigt. Lediglich bei einer geringen Beeinträchtigung der Erwerbsunfähigkeit sollte der Integritätsschaden je nach seiner Art voll zur Anrechnung gelangen. Die Gesamtentschädigung durfte jedoch in keinem Fall den Maximalansatz der Rente (100%) überschreiten. Diese Auffassung BGE 121 V 157 S. 160 wurde damit begründet, die Abgeltung des Integritätsschadens bezwecke nicht in erster Linie die kumulative Entschädigung der erwerblichen und integritätsmässigen Beeinträchtigung; vielmehr habe man verhüten wollen, dass ein Versicherter, der keine erwerbliche Einbusse, wohl aber eine schwere Integritätsverletzung erleide, leer ausgehe (EVGE 1954 S. 253 Erw. 1, 1966 S. 151 Erw. 2; unveröffentlichtes Urteil B. vom 28. Februar 1967. bb) Im Urteil Rey ( BGE 96 V 110 ) hat das Eidg. Versicherungsgericht diese Praxis dahingehend präzisiert, dass nicht nur eine Kumulation, sondern auch eine Kombination von Renten wegen Beeinträchtigung der Erwerbsfähigkeit und Integritätsschädigung ausgeschlossen sei. Die gesetzliche Regelung, wonach nur eine Rente auszurichten, jedoch beiden Beeinträchtigungen Rechnung zu tragen sei, müsse in dem Sinne verstanden werden, dass der im Einzelfall überwiegende Schaden voll zu entschädigen sei. Dabei sei in der Weise vorzugehen, dass die Rente für beide Schadensarten nach den hiefür massgebenden Bemessungs- und Berechnungsregeln getrennt festgesetzt und dem Versicherten die jeweils höhere Rente zugesprochen werde (vgl. BGE 105 V 322 unten f.). Zur Begründung führte das Gericht an, die Regeln für die Bemessung und Berechnung der beiden Rentenarten wiesen keinerlei Gemeinsamkeiten auf, weshalb eine (rentenerhöhende) Berücksichtigung der geringeren Beeinträchtigung bei der Festsetzung der Rente für den überwiegenden Schaden nicht willkürfrei möglich sei. Die geltende Praxis sei insbesondere mit Blick auf den Umstand, dass die Rente in keinem Fall 100% übersteigen dürfe, stossend, da der geringere Schaden, wie schwer er auch sei, nicht angerechnet werden könne, wenn der höhere Schaden "total" sei ( BGE 96 V 113 Erw. 2d). cc) Diese Rechtsprechung änderte das Eidg. Versicherungsgericht mit dem Urteil Andres ( BGE 110 V 117 ). Seither sind bei gleichzeitiger Beeinträchtigung der Erwerbsfähigkeit und der körperlichen oder psychischen Integrität beide Schäden kumulativ - durch Gewährung einer einzigen Rente - zu entschädigen, und nicht nur der überwiegende Schaden. In einem solchen Fall ist die Beeinträchtigung der Integrität durch eine Erhöhung der Invalidenrente zu entschädigen, und zwar mit einem Zuschlag in Franken, der nach billigem Ermessen festgesetzt und nach dem Grad der Beeinträchtigung abgestuft wird (BGE BGE 110 V 124 Erw. 2e und 3; vgl. BGE 112 V 381 Erw. 1c in fine, BGE 117 V 76 Erw. 3a/aa in fine). Dieser Praxisänderung liegt die Überlegung zugrunde, dass es sich bei diesen zwei nach Art, Funktion und BGE 121 V 157 S. 161 Bemessung verschiedenen Renten um selbständige Ansprüche handelt, die voll zu entschädigen sind ( BGE 110 V 124 Erw. 2e). Davon geht im übrigen auch das neue Militärversicherungsrecht aus, indem die Art. 48 ff. MVG eine separate Integritätsschadenrente vorsehen, die gegebenenfalls zusätzlich zur Invalidenrente nach Art. 40 ff. MVG ausgerichtet wird (vgl. BBl 1990 III S. 220 f.). c) Im vorliegenden Fall sprach das BAMV mit Vorschlag vom 9. März 1982, der die Rechtskraft einer endgültigen Verfügung erlangt hat ( Art. 12 Abs. 2 aMVG ), dem Beschwerdegegner ab 1. Oktober 1981 eine unbefristete Invalidenrente aufgrund einer Erwerbsunfähigkeit von 100% zu. Dass bei der Ermittlung des Invaliditätsgrades auch integritätsmässige und damit nichterwerbliche Gesichtspunkte berücksichtigt worden wären, ist nach Lage der Akten auszuschliessen. Die Rente betrug 90% des anrechenbaren Jahresverdienstes von Fr. 55'640.-- (1981) ( Art. 24 Abs. 1 aMVG ). Da eine allfällige Integritätseinbusse im Maximum mit 85% des Mittelwertes zwischen dem gesetzlichen Verdienstmaximum und dem gesetzlichen Verdienstminimum (Fr. 37'475.--) zu entschädigen gewesen wäre ( Art. 25 Abs. 3 aMVG ; BGE 112 V 383 ff. Erw. 5a; vgl. BGE 117 V 88 Erw. 5a), somit in jedem Fall eine tiefere Leistung ergeben hätte, stellte die gänzliche Erwerbsunfähigkeit gemäss der damals geltenden Rechtspraxis (Erw. 3b/bb) den überwiegenden Schaden dar und war allein abzugelten. Die Beeinträchtigung der körperlichen oder psychischen Integrität, wie schwer sie auch sein mochte, war dagegen als der geringere Nachteil in der zur Ausrichtung gelangenden höheren Erwerbsunfähigkeitsrente enthalten und mit dieser abgegolten ( BGE 105 V 324 Erw. 2b).</w:t>
      </w:r>
    </w:p>
    <w:p>
      <w:r>
        <w:rPr>
          <w:b/>
        </w:rPr>
        <w:t>E. 4</w:t>
      </w:r>
    </w:p>
    <w:p>
      <w:r>
        <w:t>Die Frage, ob das BAMV verpflichtet ist, den Anspruch des Beschwerdegegners auf eine Integritätsschadenrente materiell zu prüfen, ist zu bejahen, sofern die seit dem Urteil Andres ( BGE 110 V 117 ) geltende Rechtspraxis der Kumulierbarkeit der Ansprüche bei gleichzeitiger Erwerbsunfähigkeit und Integritätseinbusse ein Rückkommen auf die (am 9. März 1982) rechtskräftig und fehlerfrei verfügte Invalidenrente gebietet. a) Ob Änderungen des objektiven Rechts seit Verfügungserlass ein Eingreifen in ein rechtskräftig geregeltes Dauerrechtsverhältnis rechtfertigen, wird von der Rechtsprechung differenziert beantwortet. Besteht die Rechtsänderung in einem Eingriff des Gesetzgebers, somit in einer neuen für den Anspruch erheblichen Norm, so ist - die Existenz wohlerworbener Rechte vorbehalten - die Anpassung der Verfügung über ein Dauerrechtsverhältnis BGE 121 V 157 S. 162 nicht nur erlaubt, sondern gefordert. Besteht aber die Änderung des massgebenden Rechts lediglich in einer neuen gerichtlich bestätigten Verwaltungspraxis oder einer neuen Rechtsprechung, so darf die Verfügung über das Dauerrechtsverhältnis grundsätzlich nicht angetastet werden; eine solche Anpassung einer ursprünglich fehlerfreien Verfügung an eine neue gerichtlich bestätigte Verwaltungspraxis oder eine neue Rechtsprechung ist nur ausnahmsweise gerechtfertigt ( BGE 115 V 314 Erw. 4a/dd mit Hinweis). Ein wichtiger Ausnahmefall ist dann gegeben, wenn eine neue Praxis in einem solchen Masse allgemeine Verbreitung erhält, dass deren Nichtbefolgung als Verstoss gegen das Gleichheitsgebot erschiene. Unter dieser Voraussetzung liegt im Ergebnis die gleiche Situation vor wie im Falle einer nachträglichen Änderung des objektiven Rechts, so dass eine Praxisänderung Anlass zur Umgestaltung eines Dauerrechtsverhältnisses geben kann ( BGE 112 V 394 Erw. 3c mit Hinweisen; vgl. BGE 119 V 413 Erw. 3a, b; ULRICH MEYER-BLASER, Die Abänderung formell rechtskräftiger Verwaltungsverfügungen in der Sozialversicherung, in: ZBl 95 [1994] S. 337 ff., S. 350). b) Eine Ausnahmesituation im dargelegten Sinn bejahte das Eidg. Versicherungsgericht bei den reinen "Uralt-Integritätsrenten" der Militärversicherung, welche (bis 1966) nach Massgabe des entgehenden Jahresverdienstes sowie entsprechend dem Personenstand und den Unterstützungspflichten des Versicherten festgesetzt wurden (EVGE 1966 S. 152 Erw. 3 und 1968 S. 95 ff. Erw. 3b). Nachdem das Gericht diese Rechtspraxis mit den Urteilen Gysler (EVGE 1966 S. 148) und Lendi (EVGE 1968 S. 88) geändert hatte, stellte es im Urteil Beiner ( BGE 112 V 387 ) fest, dass laufende reine Integritätsrenten, welche auf der bis 1966 geltenden Praxis beruhen, an die mit den Urteilen Gysler und Lendi eingeleitete, im Urteil Gasser ( BGE 112 V 376 ) in bezug auf ein Bemessungselement modifizierte Rechtspraxis anzupassen sind (BGE BGE 112 V 395 Erw. 4; vgl. BGE 115 V 316 Erw. 5). Denn es ist in höchstem Mass rechtsungleich, Integritätsrenten nach wie vor anhand des (schon in EVGE 1966 S. 152 Erw. 3 [Urteil Gysler]) als sachfremd erkannten Kriteriums des mutmasslich entgehenden Jahresverdienstes festzusetzen und folglich Bezüger von Integritätsrenten bei gleichen körperlichen Beeinträchtigungen unterschiedlich zu entschädigen ( BGE 112 V 394 Erw. 3c). c) Die gleichen Überlegungen erfordern die Anpassung der seit 1. Oktober 1981 laufenden Erwerbsunfähigkeitsrente des Beschwerdegegners an die mit BGE 121 V 157 S. 163 dem Urteil Andres eingeleitete Rechtspraxis im Sinne der kumulativen Berücksichtigung einer erheblichen Beeinträchtigung der körperlichen oder psychischen Integrität. Diese Praxis ist die seither (1984) verbreitete, einzige Entschädigungsweise im Rahmen des bis 31. Dezember 1993 gültig gewesenen, für altrechtliche Invaliden- und Integritätsschadenrenten weiterhin massgeblichen Rechts (Art. 112 f. MVG). Davon geht auch das neue MVG aus (Erw. 3b/cc am Ende). Wird ein gleichzeitig in seiner Erwerbsfähigkeit und in seiner Integrität erheblich beeinträchtigter Versicherter auf Jahr und Tag bloss für den die höhere Rente auslösenden Nachteil entschädigt (Erw. 3b/bb), obwohl längst eine Rechtspraxis sich durchgesetzt und allgemeine Verbreitung gefunden hat, welche die kumulative Abgeltung beider Schäden, Erwerbsunfähigkeit und Integritätseinbusse, berücksichtigt, schafft dies krasse Ungleichheiten. Dies ist insbesondere dann stossend, wenn die Voraussetzungen für eine Revision nach Art. 26 aMVG (vgl. BGE 115 V 313 Erw. 4a/bb mit Hinweisen) auf absehbare Zeit hinaus nicht gegeben sind und damit die in Art. 112 Abs. 1 und Art. 114 Abs. 1 MVG ausdrücklich vorgesehene Möglichkeit der Rentenrevision nach neuem Recht entfällt. Ein solcher Sachverhalt liegt hier vor, wie das kantonale Gericht richtig festgestellt hat, indem der Beschwerdegegner seit 1. Oktober 1981 als 100% invalid gilt, gemäss den umfangreichen medizinischen Akten der Gesundheitszustand sich seither verschlechtert hat und eine Besserung nicht zu erwarten ist. Unter diesen Umständen verletzt das Verharren des BAMV auf der formellen Rechtskraft der ursprünglichen Rentenverfügung Art. 4 BV , weil dadurch der Beschwerdegegner zeitlich unbeschränkt im Hinblick auf aktuelle und künftige Lebenssachverhalte von der Anspruchsberechtigung ausgeschlossen bleibt, die bei jedem andern Versicherten in vergleichbarer Lage Anlass zu einer kumulativen Entschädigung gäbe (vgl. ULRICH MEYER-BLASER, Die Bedeutung von Art. 4 Bundesverfassung für das Sozialversicherungsrecht, in: ZSR NF 111 [1992] II S. 299 ff., S. 443 f.). Was das BAMV hiegegen vorbringt, überzeugt nicht, insbesondere nicht sein Hinweis auf das unveröffentlichte Urteil B. vom 30. Oktober 1989. In diesem Entscheid bestätigte das Eidg. Versicherungsgericht die Rechtspraxis bei der Bemessung reiner Integritätsrenten gemäss den Urteilen Gasser, Beiner und W. ( BGE 115 V 308 ), wobei es betonte, dass lediglich die auf dem sachfremden Kriterium des mutmasslich entgangenen Jahresverdienstes festgesetzten Integritätsrenten der ersten Generation (Erw. 4b) anzupassen BGE 121 V 157 S. 164 seien. d) Nach dem Gesagten rechtfertigt es sich, laufende Invaliden- oder Integritätsrenten, welche bei gleichzeitiger Beeinträchtigung von Erwerbsfähigkeit und körperlicher oder psychischer Integrität lediglich einen dieser Nachteile entschädigen, an die seit dem Urteil Andres ( BGE 110 V 117 ) geltende Rechtspraxis der kumulativen Entschädigung von Erwerbsunfähigkeit und Integritätseinbusse anzupassen. Dies betrifft namentlich Renten, welche bloss den überwiegenden Schaden im Sinne der Praxis Rey ( BGE 96 V 110 ) abgelten.</w:t>
      </w:r>
    </w:p>
    <w:p>
      <w:r>
        <w:rPr>
          <w:b/>
        </w:rPr>
        <w:t>E. 5</w:t>
      </w:r>
    </w:p>
    <w:p>
      <w:r>
        <w:t>Zusammenfassend ist festzustellen, dass das kantonale Gericht zu Recht das BAMV verpflichtet hat, auf das Gesuch des Beschwerdegegners um Zusprechung einer kumulativ zur laufenden Invalidenrente hinzutretenden Integritätsschadenrente einzutreten. Dabei hat die Vorinstanz richtigerweise den Zeitpunkt einer allfällige Rentenanpassung offengelassen (Erw. 2b). Es wird Sache des BAMV sein, falls die Anspruchsberechtigung bejaht werden sollte, diesen Zeitpunkt festzulegen (vgl. dazu BGE 110 V 291 ; ferner BGE 119 V 415 Erw.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