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137</w:t>
      </w:r>
    </w:p>
    <w:p>
      <w:r>
        <w:t>Bundesgericht (BGE), 1995-08-16, DE</w:t>
      </w:r>
    </w:p>
    <w:p>
      <w:r>
        <w:rPr>
          <w:b/>
        </w:rPr>
        <w:t xml:space="preserve">Quelle: </w:t>
      </w:r>
      <w:r>
        <w:t>https://mcp.opencaselaw.ch/entscheid/bge_BGE_121_V_137</w:t>
      </w:r>
    </w:p>
    <w:p>
      <w:r>
        <w:t>FR: ATF 121 V 137</w:t>
      </w:r>
    </w:p>
    <w:p>
      <w:r>
        <w:t>IT: DTF 121 V 137</w:t>
      </w:r>
    </w:p>
    <w:p>
      <w:pPr>
        <w:pStyle w:val="Heading2"/>
      </w:pPr>
      <w:r>
        <w:t>Regeste</w:t>
      </w:r>
    </w:p>
    <w:p>
      <w:r>
        <w:t>Regeste Art. 20 Abs. 2 und 3 UVG, Art. 31 UVV. Komplementärrente gemäss Art. 20 Abs. 2 UVG. Diese Bestimmung ist auf weibliche Versicherte nicht anwendbar, die an einer Ehepaarrente der AHV/IV teilhaben. Gesetzmässigkeit von Art. 31 Satz 2 UVV bejaht.</w:t>
      </w:r>
    </w:p>
    <w:p>
      <w:r>
        <w:t>Regeste Art. 20 al. 2 et 3 LAA, art. 31 OLAA. Rente complémentaire au sens de l'art. 20 al. 2 LAA. Cette disposition n'est pas applicable aux assurées dont le mari a droit à une rente de couple de l'AVS/AI. L'art. 31, seconde phrase, OLAA est conforme à la loi.</w:t>
      </w:r>
    </w:p>
    <w:p>
      <w:r>
        <w:t>Regesto Art. 20 cpv. 2 e 3 LAINF, art. 31 OAINF. Rendita complementare ai sensi dell'art. 20 cpv. 2 LAINF. Detta disposizione non è applicabile ad assicurate il cui marito beneficia di una rendita AVS/AI per coniugi. L'art. 31 seconda frase OAINF è conforme a legge.</w:t>
      </w:r>
    </w:p>
    <w:p>
      <w:pPr>
        <w:pStyle w:val="Heading2"/>
      </w:pPr>
      <w:r>
        <w:t>Erwägungen</w:t>
      </w:r>
    </w:p>
    <w:p>
      <w:r>
        <w:rPr>
          <w:b/>
        </w:rPr>
        <w:t>E. 1</w:t>
      </w:r>
    </w:p>
    <w:p>
      <w:r>
        <w:t>a) Nach Art. 18 Abs. 1 UVG hat der Versicherte Anspruch auf eine Invalidenrente, wenn er infolge des Unfalls invalid wird. Hat er auch Anspruch auf eine Rente der Invalidenversicherung (IV) oder der Alters- und Hinterlassenenversicherung (AHV), so wird ihm gemäss Art. 20 Abs. 2 UVG eine Komplementärrente gewährt; diese entspricht der Differenz zwischen 90 Prozent des versicherten Verdienstes und der Rente der IV oder der AHV, höchstens aber dem für Voll- oder Teilinvalidität vorgesehenen Betrag (Satz 1). Die Komplementärrente wird beim erstmaligen Zusammentreffen der erwähnten Renten festgesetzt und lediglich späteren Änderungen der für Familienangehörige bestimmten Teile der Rente der IV oder AHV angepasst (Satz 2). Nach Abs. 3 desselben Artikels erlässt der Bundesrat nähere Vorschriften, namentlich über die Berechnung der Komplementärrenten in Sonderfällen. Von dieser Rechtsetzungskompetenz hat er Gebrauch gemacht und in Art. 31 UVV die "Berechnung der Komplementärrenten im allgemeinen" sowie in Art. 32 UVV die "Höhe der Komplementärrenten in Sonderfällen" wie folgt geregelt: Art. 31: "Bei der Berechnung der Komplementärrenten für Invalide werden auch die Zusatz- und Kinderrenten der AHV/IV voll berücksichtigt. Wird als Folge eines Unfalles eine Ehepaarrente der AHV/IV ausgerichtet, so wird diese vorbehältlich Art. 32 Abs. 1 und 2 dem verunfallten Ehegatten zu zwei Dritteln angerechnet." Art. 32: "1 Vor dem Unfall gewährte IV-Renten werden bei der Berechnung der Komplementärrenten nur so weit berücksichtigt, als sie wegen des Unfalles erhöht werden. In den Fällen von Artikel 24 Abs. 4 wird die IV-Rente voll angerechnet. BGE 121 V 137 S. 139</w:t>
      </w:r>
    </w:p>
    <w:p>
      <w:r>
        <w:rPr>
          <w:b/>
        </w:rPr>
        <w:t>E. 2</w:t>
      </w:r>
    </w:p>
    <w:p>
      <w:r>
        <w:t>Hat ein Ehegatte aus einem Unfall bereits Anspruch auf eine Rente und wurde bei deren Berechnung eine AHV/IV-Rente schon berücksichtigt, so wird dem anderen Ehegatten, der durch Unfall invalid wird, die Ehepaarrente nur zu einem Drittel angerechnet.</w:t>
      </w:r>
    </w:p>
    <w:p>
      <w:r>
        <w:rPr>
          <w:b/>
        </w:rPr>
        <w:t>E. 3</w:t>
      </w:r>
    </w:p>
    <w:p>
      <w:r>
        <w:t>Wird eine Witwe, die eine AHV-Rente bezieht, wegen eines Unfalles invalid, so wird ihr die AHV/IV-Rente nur zu zwei Dritteln angerechnet.</w:t>
      </w:r>
    </w:p>
    <w:p>
      <w:r>
        <w:rPr>
          <w:b/>
        </w:rPr>
        <w:t>E. 4</w:t>
      </w:r>
    </w:p>
    <w:p>
      <w:r>
        <w:t>Hat der Rentenberechtigte vor Eintritt der Invalidität neben der unselbständigen noch eine selbständige Erwerbstätigkeit ausgeübt, so wird für die Festsetzung der Grenze von 90 Prozent nach Artikel 20 Absatz 2 des Gesetzes neben dem versicherten Verdienst auch das Einkommen aus selbständiger Erwerbstätigkeit bis zum Höchstbetrag des versicherten Verdienstes berücksichtigt.</w:t>
      </w:r>
    </w:p>
    <w:p>
      <w:r>
        <w:rPr>
          <w:b/>
        </w:rPr>
        <w:t>E. 5</w:t>
      </w:r>
    </w:p>
    <w:p>
      <w:r>
        <w:t>Findet demnach Art. 20 Abs. 2 UVG dann keine Anwendung, wenn die eine Rente nach Art. 18 Abs. 1 UVG beziehende Versicherte an einer Ehepaarrente der AHV oder IV teil hat, bleibt zu prüfen, wie es sich mit der Rechtmässigkeit von Art. 31 Satz 2 UVV verhält. a) Wie eingangs dargelegt, hat der Bundesrat von der ihm für die Berechnung von Komplementärrenten in Sonderfällen in Art. 20 Abs. 3 UVG eingeräumten Rechtsetzungsbefugnis unter anderem in Art. 31 Satz 2 UVV Gebrauch gemacht, indem bei den als Folge eines Unfalles ausgerichteten Ehepaarrenten der AHV/IV grundsätzlich deren Anrechnung im Umfang von zwei Dritteln vorgeschrieben wird (vgl. Erw. 1a hievor). Aufgrund des Wortlauts dieser Bestimmung steht ausser Zweifel, dass sich diese Anrechnung im besagten Umfang nicht bloss auf den Anteil des verunfallten Ehegatten, sondern auf die gesamte Ehepaarrente erstreckt, wie dies Beschwerdegegnerin und Vorinstanz im Ergebnis richtig erkannt haben und auch in der Verwaltungsgerichtsbeschwerde nicht in Abrede gestellt wird. Ebenso liegt klar zutage, dass Art. 31 Satz 2 UVV bezüglich der Ehepaarrente nicht nur auf den anspruchsberechtigten Ehemann abzielt, sondern auch die weibliche Versicherte erfassen will ("dem verunfallten Ehegatten"). b) Das Eidg. Versicherungsgericht hat sich in den schon mehrfach angeführten Urteilen veranlasst gesehen, im Rahmen der ihm insofern zustehenden Überprüfungsbefugnis (vgl. dazu BGE 118 V 225 Erw. 2b mit Hinweis; vgl. auch BGE 118 Ib 538 Erw. 1 und RKUV 1995 Nr. K 959 S. 41 Erw. 2b) auch zur Rechtmässigkeit der gestützt auf Art. 20 Abs. 3 UVG ergangenen Verordnungsbestimmungen Stellung zu nehmen. Dabei hat es im wesentlichen den Ermessensspielraum des Bundesrates als sehr weit taxiert und die von BGE 121 V 137 S. 147 diesem getroffene Auswahl und Umschreibung der Sonderfälle, bei denen die Berechnung der Komplementärrenten in einer vom gesetzlichen Grundsatz abweichenden Weise erfolgen soll, lediglich unter dem Gesichtspunkt der Willkür geprüft. Dementsprechend hat das Eidg. Versicherungsgericht unter ausdrücklichem Hinweis auf die bundesrätliche Freiheit, in der Verordnung auch solche Fälle (nicht) zu berücksichtigen, in denen man mit vertretbaren Gründen geteilter Meinung sein kann, keine Zweckmässigkeits- oder Reformüberlegungen angestellt. Ebensowenig ist es infolge der verfassungsrechtlichen Beschränkung seiner eigenen Befugnisse ( Art. 113 Abs. 3 und Art. 114bis Abs. 3 BV ) der Frage nachgegangen, ob die hier angesprochene Übertragung der Rechtsetzungskompetenz den rechtsstaatlichen Anforderungen an eine Delegationsnorm genügt und ob der mit der Einführung der Komplementärrente erfolgte Systemwechsel (vgl. Erw. 3a hievor) angemessen erscheint (zum Ganzen vgl. BGE 115 V 272 f., 282 f., je mit Hinweisen, sowie S. 289 Erw. 3b). c) Gemäss der dargelegten Rechtsprechung, von der abzuweichen kein Anlass besteht, hat sich das Eidg. Versicherungsgericht mit Blick auf das dem Bundesrat zustehende weite Auswahlermessen und angesichts der Komplexität der sich im vorliegenden Zusammenhang ergebenden Probleme auch bei der Überprüfung von Art. 31 Satz 2 UVV Zurückhaltung aufzuerlegen (vgl. BGE 115 V 273 Erw. 2b/bb und 283 Erw. 3b/bb, je mit Hinweisen). Im Lichte dieser Darlegungen lässt sich die vom Verordnungsgeber in bezug auf die Anrechnung der Ehepaarrenten getroffene Lösung nicht beanstanden. Insbesondere ist unter dem hier massgeblichen Gesichtspunkt der Willkür (vgl. dazu BGE 119 Ia 32 Erw. 3 und 117 Erw. 3a) nichts dagegen einzuwenden, wenn Art. 31 Satz 2 UVV nicht an der eigentlichen Anspruchsberechtigung anknüpft, sondern alleine darauf abstellt, dass als Folge des Unfalles eine Ehepaarrente zur Ausrichtung gelangte. Diese Ordnung steht zwar nach dem Gesagten (vgl. Erw. 4b hievor) dann in Widerspruch zu Art. 20 Abs. 2 UVG , wenn es um Rentenleistungen ( Art. 18 UVG ) der Ehefrau geht. Abgesehen davon geht mit der auf Verordnungsstufe begründeten Ausdehnung der Komplementärrentenregelung die Einschränkung des Anwendungsbereichs von Art. 40 UVG einher, was aus Sicht dieser Bestimmung und des tragenden Prinzips der Gewaltenteilung als fragwürdig erscheint. Solchen Bedenken steht jedoch der Umstand entgegen, dass das Eidg. Versicherungsgericht die Delegation in Art. 20 Abs. 3 UVG mit Selbstverständlichkeit zugunsten des BGE 121 V 137 S. 148 Verordnungsgebers stets dahin ausgelegt hat, es dürfe die Berechnung der Komplementärrente in Sonderfällen in einer von den im Gesetz statuierten Grundsätzen abweichenden Weise geregelt werden ( BGE 115 V 281 Erw. 3b und 282 Erw. 3b/bb). Wird im übrigen in Betracht gezogen, dass die Ehepaarrente immerhin einen eigenen, originären Rentenanspruch der Ehefrau zwingend voraussetzt (vgl. Art. 22 Abs. 1 AHVG und Art. 33 Abs. 1 IVG , je in Verbindung mit Art. 21 Abs. 1 lit. b AHVG ) und ihre Auszahlung nunmehr ohne weiteres je zur Hälfte an beide Ehegatten getrennt erfolgt (vgl. Erw. 4b hievor), erweist sich die in Art. 31 Satz 2 UVV getroffene Lösung nicht als geradezu unhaltbar, zumal sie im Dienste einer sachlich zu rechtfertigenden Gleichbehandlung der Geschlechter steht. Ebensowenig ist schliesslich zu bemängeln, wenn die Ehepaarrenten nicht als eigentlicher Sonderfall im Sinne von Art. 32 UVV , sondern im Rahmen von Art. 31 UVV berücksichtigt wurden, indem sie - entgegen dem Grundsatz in Art. 20 Abs. 2 UVG - nicht vollumfänglich, jedoch im Umfang von zwei Dritteln anzurechnen sind. Auch wenn diese Bestimmung trotz der damit im Vergleich zu Art. 20 Abs. 2 UVG - zumindest für den Inhaber des Ehepaarrentenanspruchs - geschaffenen Erleichterung von den betroffenen Versicherten als unbefriedigend empfunden werden mag, fällt ein richterliches Eingreifen zu deren Gunsten nach dem Gesagten ausser Betracht. Dabei gilt es insbesondere auch an den unter Erw. 3 hievor erläuterten gesetzgeberischen Willen zu erinnern und im übrigen festzuhalten, dass der Bundesrat die gewollt einfache Regel des Art. 20 Abs. 2 (und 31 Abs. 4) UVG nicht durch abweichende Normierung einer Vielzahl von Sonderfällen ausser Kraft setzen durfte ( BGE 115 V 283 f.). Um so weniger steht es deshalb dem Eidg. Versicherungsgericht zu, die vom Verordnungsgeber - in Ausübung des ihm übertragenen weiten Ermessens - geschaffene Ordnung auf dem Wege richterlicher Rechtsfindung in einer Weise in Frage zu stellen und zu ergänzen, die über die blosse Willkürkontrolle hinausginge, abgesehen davon, dass damit zugleich die Gefahr neuer Ungleichheiten geschaffen würde.</w:t>
      </w:r>
    </w:p>
    <w:p>
      <w:r>
        <w:rPr>
          <w:b/>
        </w:rPr>
        <w:t>E. 6</w:t>
      </w:r>
    </w:p>
    <w:p>
      <w:r>
        <w:t>a) Zusammenfassend hat sich somit ergeben, dass Art. 31 Satz 2 UVV , wonach bei der Festsetzung der Komplementärrente des verunfallten Ehegatten die Anrechnung der als Folge des Unfalles ausgerichteten Ehepaarrente der AHV/IV (vorbehältlich Art. 32 Abs. 1 und 2 UVV ) im Umfang von zwei Dritteln zu erfolgen hat, rechtmässig ist. Dies gilt namentlich auch dann, wenn die BGE 121 V 137 S. 149 Ehepaarrente mit einem UVG-Rentenanspruch der Ehefrau zusammentrifft, obwohl der in Art. 20 Abs. 2 UVG enthaltene Grundsatz der vollen Anrechnung der AHV- und IV-Renten zufolge fehlender diesbezüglicher Anspruchsberechtigung diesen Fall an sich nicht erfasst. b) Unter diesen Umständen vermag die Beschwerdeführerin mit ihrem Hauptantrag nicht durchzudringen. Diesem Ergebnis steht auch die im Falle des Zusammentreffens zwischen Taggeldern der Unfallversicherung und IV-Renten zu Art. 40 UVG ergangene Rechtsprechung nicht entgegen, wonach bei der Überversicherungberechnung jene Rentenansprüche ausser acht zu lassen sind, die der Ehegatte eines Versicherten unabhängig von dessen Invalidität beanspruchen kann (RKUV 1992 Nr. U 139 S. 25 Erw. 3). Denn wie eingangs ausgeführt (vgl. Erw. 1b), hat das Eidg. Versicherungsgericht wiederholt entschieden ( BGE 117 V 395 Erw. 2b mit Hinweisen), dass Art. 40 UVG nur subsidiär, mithin bloss in jenen Fällen gilt, in denen keine andere Koordinationsnorm anwendbar ist, was hier gerade nicht zutrifft.</w:t>
      </w:r>
    </w:p>
    <w:p>
      <w:r>
        <w:rPr>
          <w:b/>
        </w:rPr>
        <w:t>E. 7</w:t>
      </w:r>
    </w:p>
    <w:p>
      <w:r>
        <w:t>Wie schon im kantonalen Verfahren wird auch in der Verwaltungsgerichtsbeschwerde hilfsweise beantragt, es müsse im Falle, dass sich Art. 31 Satz 2 UVV auf die gesamte Ehepaarrente beziehe, konsequenterweise auch von demjenigen versicherten Verdienst ausgegangen werden, der für die Bemessung dieser Rente ausschlaggebend gewesen sei (vgl. Art. 30 ff. AHVG ). Damit dringt die Beschwerdeführerin nicht durch. Zu Recht wird in der Beschwerdeantwort darauf verwiesen, dass sich der für die Festsetzung der Geldleistungen gemäss UVG zentrale Begriff des versicherten Verdienstes ( Art. 15 ff. UVG ) stets auf die nach diesem Gesetz versicherte Person bezieht. Auch bei der Berechnung der Komplementärrenten wird auf den Jahresverdienst abgestellt, welcher der UVG-Rente zugrunde liegt, mithin auf den Lohn, den der oder die Versicherte innerhalb eines Jahres vor dem Unfall bezogen hat (MAURER, Schweizerisches Unfallversicherungsrecht, Bern 1985, S. 375 in Verbindung mit S. 325; vgl. BGE 112 V 41 Erw. 3a). Von dieser ebenso klaren wie grundlegenden Ordnung unter Berufung auf die Rechtsfigur einer unechten Lücke abzuweichen ( BGE 111 V 327 Erw. 2a, BGE 106 V 70 Erw. 2a), stünde dem Sozialversicherungsrichter selbst dann nicht zu, wenn er der Argumentation in der Verwaltungsgerichtsbeschwerde folgen würde. Denn es geht dabei um Fragen derart grundsätzlicher Art, dass ihre Regelung den zuständigen Rechtsetzungsorganen vorbehalten bleiben müsste BGE 121 V 137 S. 150 (vgl. BGE 118 V 173 Erw. 2b; vgl. ferner BGE 117 V 327 unten f. Erw. 6b).</w:t>
      </w:r>
    </w:p>
    <w:p>
      <w:r>
        <w:rPr>
          <w:b/>
        </w:rPr>
        <w:t>E. 8</w:t>
      </w:r>
    </w:p>
    <w:p>
      <w:r>
        <w:t>Nach dem Gesagten haben Beschwerdegegnerin und Vorinstanz die Berechnung gemäss Art. 31 Satz 2 UVV grundsätzlich korrekt vorgenommen mit der Folge, dass der Beschwerdeführerin bereits ab August 1989 keine Komplementärrente mehr zugestanden hätte. Gleichwohl verfügte die Beschwerdegegnerin den Wegfall dieser Rente unter entsprechender Festsetzung ihrer Rückforderung erst ab Januar 1990. Nachdem sie hieran in ihrem Einspracheentscheid in voller Kenntnis der Sachlage ausdrücklich festhielt und der - auch von der Vorinstanz bestätigte - Rückforderungsbetrag von Fr. 25'083.25 von keiner Seite beanstandet wird, kann es damit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