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125</w:t>
      </w:r>
    </w:p>
    <w:p>
      <w:r>
        <w:t>Bundesgericht (BGE), 1995-02-15, DE</w:t>
      </w:r>
    </w:p>
    <w:p>
      <w:r>
        <w:rPr>
          <w:b/>
        </w:rPr>
        <w:t xml:space="preserve">Quelle: </w:t>
      </w:r>
      <w:r>
        <w:t>https://mcp.opencaselaw.ch/entscheid/bge_BGE_121_V_125</w:t>
      </w:r>
    </w:p>
    <w:p>
      <w:r>
        <w:t>FR: ATF 121 V 125</w:t>
      </w:r>
    </w:p>
    <w:p>
      <w:r>
        <w:t>IT: DTF 121 V 125</w:t>
      </w:r>
    </w:p>
    <w:p>
      <w:pPr>
        <w:pStyle w:val="Heading2"/>
      </w:pPr>
      <w:r>
        <w:t>Regeste</w:t>
      </w:r>
    </w:p>
    <w:p>
      <w:r>
        <w:t>Regeste Art. 15 Abs. 3 lit. c UVG, Art. 22 Abs. 2 lit. c UVV, Art. 90 ff. ZGB. Der Begriff "mitarbeitende Familienglieder", wie er u.a. in Art. 22 Abs. 2 lit. c UVV verwendet wird, umfasst nur die Mitglieder der Familie im familienrechtlichen Sinn des ZGB. Das Verlöbnis - als quasifamiliäres Rechtsverhältnis - oder das Konkubinat begründet keine Mitgliedschaft in der Familie.</w:t>
      </w:r>
    </w:p>
    <w:p>
      <w:r>
        <w:t>Regeste Art. 15 al. 3 let. c LAA, art. 22 al. 2 let. c OLAA, art. 90 ss CC. La notion de "membres de la famille de l'employeur travaillant dans l'entreprise" utilisée notamment à l'art. 22 al. 2 let. c OLAA englobe exclusivement les membres de la famille au sens du droit de la famille du Code civil. La qualité de membre de la famille ne résulte ni des fiançailles - en tant que rapport juridique quasi familial - ni du concubinat.</w:t>
      </w:r>
    </w:p>
    <w:p>
      <w:r>
        <w:t>Regesto Art. 15 cpv. 3 lett. c LAINF, art. 22 cpv. 2 lett. c OAINF, art. 90 segg. CC. La nozione di "familiari del datore di lavoro collaboranti nell'azienda" ai sensi dell'art. 22 cpv. 2 lett. c OAINF si estende ai soli membri della famiglia giusta il diritto di famiglia del CC. Sia il fidanzamento - come rapporto giuridico quasi familiare - sia il concubinato non conferiscono qualità di membro della famiglia.</w:t>
      </w:r>
    </w:p>
    <w:p>
      <w:pPr>
        <w:pStyle w:val="Heading2"/>
      </w:pPr>
      <w:r>
        <w:t>Erwägungen</w:t>
      </w:r>
    </w:p>
    <w:p>
      <w:r>
        <w:rPr>
          <w:b/>
        </w:rPr>
        <w:t>E. 2</w:t>
      </w:r>
    </w:p>
    <w:p>
      <w:r>
        <w:t>... c)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BGE 121 V 125 S. 127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119 Ia 248 Erw. 7a, BGE 119 II 151 Erw. 3b, 355 Erw. 5, BGE 119 V 126 Erw. 4, 204 Erw. 5c, 274 Erw. 3a, 429 Erw. 5a, BGE 118 Ib 191 Erw. 5a, 452 Erw. 3c, 555 Erw. 4d, BGE 118 II 342 Erw. 3e, je mit Hinweisen; IMBODEN/RHINOW/KRÄHENMANN, Schweizerische Verwaltungsrechtsprechung, Nr. 21 B IV). aa) Die Verordnung spricht von mitarbeitenden "Familiengliedern", "les membres de la famille" de l'employeur travaillant dans l'entreprise und "i familiari" del datore di lavoro collaboranti nell'azienda. Bei der Frage, welcher Gehalt diesen Begriffen zukommt, ist der Grundsatz zu beachten, dass das Familienrecht (und mithin seine Regelung über das Verlöbnis [ Art. 90-95 ZGB ]) eine Ordnung darstellt, die von der Sozialversicherung vorausgesetzt wird und dieser daher grundsätzlich vorgeht. Dabei entspricht es konstanter Rechtsprechung, dass der Gesetzgeber, wenn er im Sozialversicherungsrecht Regelungen mit Anknüpfung an familienrechtliche Sachverhalte (beispielsweise an der Ehe, der Verwandtschaft oder der Vormundschaft) trifft, von ihrer Bedeutung her, vorbehältlich gegenteiliger Anordnung, diejenigen Institute - und nur diese - im Blickfeld hat, die das Familienrecht kennt ( BGE 119 V 429 Erw. 5b und 430 Erw. 6, BGE 117 V 292 Erw. 3c, BGE 112 V 102 Erw. 2b, BGE 102 V 37 mit Hinweisen). bb) Anknüpfungen an familienrechtliche Begriffe kommen im Sozialversicherungsrecht ausserordentlich häufig vor (vgl. hiezu RIEMER, Berührungspunkte zwischen Sozialversicherungs- und Privatrecht, insbesondere die Bedeutung des Privatrechts bei der Auslegung des Sozialversicherungsrechtes durch das EVG, in Sozialversicherungsrecht im Wandel, Festschrift 75 Jahre EVG, Bern 1992, S. 147 ff.). Der Begriff "Familienglied" findet sich in Erlassen nahezu aller Sparten der Sozialversicherung (vgl. z.B. Art. 3 Abs. 2 lit. d AHVG , Art. 5 Abs. 3 AHVG , Art. 14 AHVV [diese Bestimmungen sind über die Verweisnorm in Art. 2 IVG teilweise auch in der Invalidenversicherung gültig], Art. 9 ELV , Art. 1 Abs. 1 lit. e BVV2, Art. 4 Abs. 1 UVG , Art. 22 Abs. 2 lit. c UVV , Art. 1 Abs. 2 FLG , Art. 3 Abs. 1 FLV , Art. 2 Abs. 2 lit. b AVIG ). Die französische BGE 121 V 125 S. 128 Fassung dieser Gesetzesartikel spricht einheitlich von "membres de la famille", in ihrer italienischen Fassung findet sich neben dem Begriff "familiari" auch jener der "membri della famiglia". Im Krankenversicherungsrecht werden Ausdrücke wie "Familienangehörige", "des familles" und "appartenendo alla famiglia" verwendet (vgl. z.B. Art. 6bis Abs. 3 KUVG , Art. 7 Abs. 1 lit. c KUVG ). Wen der Begriff konkret anspricht, lässt sich den Bestimmungen nicht entnehmen; vereinzelt (etwa in Art. 1 Abs. 2 lit. a und b FLG ) werden - eigentlich zur Familie gehörende - Personen(gruppen) davon ausgenommen. cc) Das Eidg. Versicherungsgericht hat dem erwähnten (Erw. 2c/aa) Grundsatz, wonach das Familienrecht für das Sozialversicherungsrecht Voraussetzung ist und diesem daher - vorbehältlich anderer Regelung - grundsätzlich vorgeht, in seiner Rechtsprechung stets Rechnung getragen ( BGE 119 V 491 Erw. 4, BGE 118 V 32 Erw. 4b, BGE 116 V 237 Erw. 4a, BGE 115 V 13 Erw. 3a, BGE 115 V 320 Erw. 1b). Hievon abzuweichen besteht vorliegendenfalls kein Anlass. Der Begriff "Familie" kann familienrechtlich enger oder weiter verstanden werden, beispielsweise im Sinne einer Kleinfamilie (bestehend aus Ehefrau, Ehemann und ihren Kindern im gemeinsamen Haushalt) oder, ganz anders, im Sinne der Sippe (bestehend aus einer eine Vielzahl solcher Kleinfamilien umfassenden Gruppe von Menschen mit gemeinsamer Abstammung [Verwandtschaft, Schwägerschaft]). Das ZGB regelt die Familie über das ihre Grundlage bildende Element der Ehe und das diese erweiternde Element der Verwandtschaft, welche sich insbesondere im Hinzutreten von gemeinsamen Kindern (allenfalls Adoptions- und Pflegekindern) in den Haushalt der Ehegatten verwirklicht (TUOR/SCHNYDER, Das Schweizerische Zivilgesetzbuch, 10. Aufl., Zürich 1986, S. 141; MAHON, Kommentar BV, Art. 34quinquies, N. 35 ff.; LÜCHINGER, Begriff und Bedeutung der Familie im schweizerischen Recht, Diss. Zürich 1987, S. 3). Die eheähnliche Lebensgemeinschaft, das Konkubinat, ist im ZGB nicht geregelt. Sie wird, sofern aus ihr Kinder hervorgegangen sind, einzig über das Kindesverhältnis familienrechtlich erfasst. Das Kindesverhältnis aber ist, wegen der fehlenden Ehe der Eltern, kein gemeinschaftliches (LÜCHINGER, a.a.O., S. 13). Indessen findet sich das Verlöbnis im ZGB geregelt. Nach schweizerischer Rechtsauffassung stellt es einen familienrechtlichen Konsensualvertrag dar, welcher allerdings keinen einklagbaren Anspruch auf Erfüllung, also auf den Abschluss der Ehe einräumt, immerhin aber einen "rapport quasi familial" begründet BGE 121 V 125 S. 129 (TUOR/SCHNYDER, a.a.O., S. 143 ff., DESCHENAUX/TERCIER, Le mariage et le divorce, 3. Aufl., Bern 1985, S. 33 f.). Abgesehen von gewissen prozessrechtlichen Folgen (z.B. Ausschliessungsgrund [Art. 22 Abs. 1 lit. a in Verbindung mit Art. 4 Abs. 1 OG ], Zeugnisverweigerungsgrund [ Art. 75 BStP ], Amtshandlungsverbot [ Art. 10 Abs. 1 Ziff. 1 SchKG ]) entfaltet das Verlöbnis rechtsverbindliche Wirkungen - nach unumstrittener Auffassung und nur unter bestimmten Voraussetzungen - lediglich für den Fall, dass es gebrochen wird. Es zielt zwar auf den Eheschluss ab, stellt aber insbesondere keine Ehe dar und kann für sich allein nicht als Familie bezeichnet werden (LÜCHINGER, a.a.O., S. 14). dd) Seitens des Familienrechts ist nach dem Gesagten für den Begriff "Familie" der formelle Eheschluss qualitativ entscheidend, sei es, um sie selbst zu begründen, sei es, um verwandtschaftlich rechtsverbindliche Beziehungen zu ihr zu knüpfen. Mit diesem familienrechtlichen Gehalt ist der Familienbegriff für das Sozialversicherungsrecht vorausgesetzt und für dieses - immer vorbehältlich anderslautender Regelung - verbindlich. Findet im Sozialversicherungsrecht, wie eben beispielsweise im Art. 22 Abs. 2 lit. c UVV ein dem Familienrecht entstammender Begriff ("Familienglieder", "les membres de la famille", "i familiari") Verwendung, kann bei dessen Auslegung der familienrechtliche Gehalt nicht unberücksichtigt bleiben. Deshalb geht es nicht an, eine mit einem Familienglied verlobte oder in eheähnlicher Gemeinschaft lebende Person sozialversicherungsrechtlich als der Familie zugehörig zu betrachten, wenn dies in der anzuwendenden Regelung nicht ausdrücklich vorgesehen ist. Der Auslegung zugänglich sind somit lediglich Fragen, welche den mit dem Begriff "Familienglieder", "les membres de la famille" bzw. "i familiari" abgedeckten Verwandtschafts- oder Verschwägerungsgrad betreffen, oder ob er beispielsweise auch Pflegekinder umfasst oder nicht. Eine solche Frage stellt sich indessen im vorliegenden Fall nicht. Da die Versicherte im Zeitpunkt des Versicherungsfalls weder als Konkubinatspartnerin noch als Verlobte ein Familienglied der Versicherungsnehmerin war, verbietet sich eine Anwendung von Art. 22 Abs. 2 lit. c UVV . Dies führt zur entsprechenden Gutheissung der Verwaltungsgerichtsbeschwerde.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