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321</w:t>
      </w:r>
    </w:p>
    <w:p>
      <w:r>
        <w:t>Bundesgericht (BGE), 1995-01-01, DE</w:t>
      </w:r>
    </w:p>
    <w:p>
      <w:r>
        <w:rPr>
          <w:b/>
        </w:rPr>
        <w:t xml:space="preserve">Quelle: </w:t>
      </w:r>
      <w:r>
        <w:t>https://mcp.opencaselaw.ch/entscheid/bge_BGE_121_I_321</w:t>
      </w:r>
    </w:p>
    <w:p>
      <w:r>
        <w:t>FR: ATF 121 I 321</w:t>
      </w:r>
    </w:p>
    <w:p>
      <w:r>
        <w:t>IT: DTF 121 I 321</w:t>
      </w:r>
    </w:p>
    <w:p>
      <w:pPr>
        <w:pStyle w:val="Heading2"/>
      </w:pPr>
      <w:r>
        <w:t>Regeste</w:t>
      </w:r>
    </w:p>
    <w:p>
      <w:r>
        <w:t>Regeste Art. 4 BV; kein verfassungsrechtlicher Anspruch auf unentgeltliche aussergerichtliche Rechtsberatung. Der aus Art. 4 BV abgeleitete Anspruch auf unentgeltliche Rechtsverbeiständung beschränkt sich auf die Vertretung im Prozess und beinhaltet keinen Anspruch auf ausserprozessuale Rechtsberatung.</w:t>
      </w:r>
    </w:p>
    <w:p>
      <w:r>
        <w:t>Regeste Art. 4 Cst.; négation d'un droit constitutionnel à l'assistance juridique gratuite pour l'activité extrajudiciaire. Le droit à l'assistance judiciaire gratuite découlant de l'art. 4 Cst. se limite à la représentation dans les procédures judiciaires; il ne confère aucune prétention à l'assistance juridique extrajudiciaire.</w:t>
      </w:r>
    </w:p>
    <w:p>
      <w:r>
        <w:t>Regesto Art. 4 Cost.; non sussiste un diritto costituzionale alla consulenza giuridica gratuita per l'attività extragiudiziale. Il diritto all'assistenza giudiziaria sgorgante dall'art. 4 Cost. si limita alla rappresentanza nel processo e non include un diritto alla consulenza giuridica extraprocessuale.</w:t>
      </w:r>
    </w:p>
    <w:p>
      <w:pPr>
        <w:pStyle w:val="Heading2"/>
      </w:pPr>
      <w:r>
        <w:t>Erwägungen</w:t>
      </w:r>
    </w:p>
    <w:p>
      <w:r>
        <w:rPr>
          <w:b/>
        </w:rPr>
        <w:t>E. 1</w:t>
      </w:r>
    </w:p>
    <w:p>
      <w:r>
        <w:t>Beim Entscheid des Einzelrichters in Familiensachen des Kantonsgerichts St. Gallen vom 27. Februar 1995 handelt es sich um einen Zwischenentscheid. Gemäss Art. 87 OG kann ein letztinstanzlicher Zwischenentscheid wegen Verletzung von Art. 4 BV nur angefochten werden, wenn er für den Betroffenen einen nicht wiedergutzumachenden Nachteil zur Folge hat. Ein nicht wiedergutzumachender Nachteil wird nach ständiger Rechtsprechung des Bundesgerichts bei Zwischenentscheiden bejaht, welche die unentgeltliche Rechtspflege bzw. die Gewährung eines unentgeltlichen Rechtsbeistandes verweigern ( BGE 111 Ia 276 E. 2 S. 277 ff.; SPÜHLER, Die Praxis der staatsrechtlichen Beschwerde, Bern 1994, Rz. 310 mit Hinweis). Da die Beschwerdeschrift im übrigen den formellen Anforderungen genügt, ist auf die staatsrechtliche Beschwerde einzutreten. BGE 121 I 321 S. 323</w:t>
      </w:r>
    </w:p>
    <w:p>
      <w:r>
        <w:rPr>
          <w:b/>
        </w:rPr>
        <w:t>E. 2</w:t>
      </w:r>
    </w:p>
    <w:p>
      <w:r>
        <w:t>Der Einzelrichter in Familiensachen des Kantonsgerichts St. Gallen hat das gemeinsame Begehren der Beschwerdeführer auf Gewährung der unentgeltlichen Rechtsverbeiständung im Zusammenhang mit der Ausarbeitung einer Scheidungskonvention im wesentlichen mit der Begründung abgewiesen, dass weder die Prozessordnung des Kantons St. Gallen noch Art. 4 BV einen Anspruch auf kostenlose Rechtsberatung ausserhalb des Prozesses vorsehe. Die Beschwerdeführer erachten diese Begründung als verfassungswidrig. Sie machen im wesentlichen geltend, dass die Annahme im angefochtenen Entscheid, sie hätten um eine aussergerichtliche Rechtsberatung nachgesucht, ein "formalistisch-juristisches Konstrukt" sei, weil die Beratung faktisch innerhalb des Prozesses stattfinde. Unter diesen Umständen verstosse die Verweigerung der unentgeltlichen Rechtsverbeiständung gegen Art. 4 BV , weil sie dadurch in verfassungswidriger Weise gegenüber vermögenden Parteien benachteiligt würden. a) Der Umfang des Anspruches auf unentgeltliche Rechtspflege und Verbeiständung bestimmt sich zunächst nach den Vorschriften des kantonalen Rechts. Nur wenn dieses der bedürftigen Partei nicht in ausreichendem Mass die Möglichkeit sichert, ihre Rechte zu wahren, greifen die unmittelbar aus Art. 4 BV hergeleiteten Regeln ein, die ein Mindestmass an Rechtsschutz gewährleisten ( BGE 120 Ia 14 E. 3a S. 15, BGE 116 Ia 102 E. 4a S. 104, BGE 115 Ia 193 E. 2 S. 194, je mit Hinweisen). Die Beschwerdeführer machen nicht geltend, der auf kantonalem Prozessrecht basierende Anspruch auf unentgeltliche Verbeiständung sei verletzt worden, so dass der angefochtene Entscheid unter diesem Gesichtspunkt nicht zu prüfen ist. Vielmehr berufen sie sich direkt auf das aus Art. 4 BV abgeleitete Recht auf Gewährung eines unentgeltlichen Rechtsbeistandes. Nach ständiger Rechtsprechung des Bundesgerichts verschafft Art. 4 BV einer bedürftigen Partei in einem für sie nicht aussichtslosen Prozess Anspruch auf unentgeltliche Rechtspflege und auf Ernennung eines unentgeltlichen Rechtsbeistandes, sofern sie eines solchen zur gehörigen Wahrung ihrer Interessen bedarf ( BGE 120 Ia 179 E. 3 S. 180 f., BGE 120 Ia 14 E. 3a S. 15, BGE 119 Ia 264 E. 3a S. 265). b) Entgegen der Auffassung der Beschwerdeführer ist die Annahme des Einzelrichters in Familiensachen des Kantonsgerichts St. Gallen, sie hätten den Anwalt nicht für den Scheidungsprozess, sondern für ausserprozessuale Beratung beigezogen, keineswegs ein "formalistisch-juristisches Konstrukt". Die Beschwerdeführer haben ihren Scheidungsprozess selbständig eingeleitet BGE 121 I 321 S. 324 und diesen während der ganzen Verfahrensdauer eigenständig geführt. Der von ihnen beauftragte Rechtsanwalt hat sich nie mit einer Prozessvollmacht legitimiert und ist in keinem Stadium des Prozesses als Vertreter der Beschwerdeführer aufgetreten. Im angefochtenen Entscheid wurde deshalb zutreffend davon ausgegangen, dass es sich nicht um eine Rechtsverbeiständung im Prozess, sondern um eine parallel zum Scheidungsverfahren erbrachte Rechtsberatung ausserhalb des hängigen Prozesses handelt. Unter diesen Umständen ist einzig die Frage zu prüfen, ob direkt aus Art. 4 BV ein Anspruch auf unentgeltliche Rechtsverbeiständung für ausserprozessuale Beratungen abgeleitet werden kann. Das Bundesgericht hatte sich zwar bereits verschiedentlich mit der aussergerichtlichen unentgeltlichen Verbeiständung auseinanderzusetzen, doch bezog sich dies immer auf Fälle, in denen das kantonale Prozessrecht einen entsprechenden Anspruch vorsah ( BGE 117 Ia 22 E. 4d S. 26, BGE 109 Ia 107 E. 3b S. 110 f.). Demgegenüber wurde ein direkt aus Art. 4 BV abgeleiteter Armenrechtsanspruch für ausserprozessuale Rechtsberatungen bislang stets abgelehnt ( BGE 117 Ia 22 E. 4d S. 26; SPÜHLER, a.a.O., Rz. 424, mit Hinweis auf den unveröffentlichten Entscheid des Bundesgerichtes vom 2. Juli 1992 i.S. D.). Während diese Rechtsprechung teilweise gebilligt wird (FAVRE, L'assistance judiciaire gratuite en droit suisse, Diss. Lausanne 1989, S. 114), wird in der Literatur auch die Auffassung vertreten, dass sich der verfassungsrechtliche Anspruch auf unentgeltliche Verbeiständung auch auf ausser- und vorprozessuale Beratung erstrecke, weil Bedürftige andernfalls auf die Dienste von meist auf summarische Rechtsberatung beschränkten Organisationen angewiesen wären und weil sich die aussergerichtliche Rechtsvertretung eigne, oft viel aufwendigere Prozesse zu verhindern (MARTIN, Probleme des Rechtsschutzes, ZSR NF/II 107 [1988], S. 50 f.; JAQUOT, Die Kosten der Rechtsverfolgung, Diss. Zürich 1978, S. 63; SALZMANN, Das besondere Rechtsverhältnis zwischen Anwalt und Rechtsstaat, Diss. Freiburg 1976, S. 81). Im vorliegenden Fall besteht kein Anlass, von der bisherigen Rechtsprechung abzuweichen, dass sich der verfassungsrechtliche Mindestanspruch auf unentgeltliche Rechtsverbeiständung ausschliesslich auf die Vertretung im Rahmen eines Prozesses beschränkt. Zunächst ist festzuhalten, dass keineswegs gesichert ist, dass durch die aussergerichtliche Rechtsberatung oft viel aufwendigere Prozesse verhindert werden können. Insbesondere im vorliegenden Fall verfängt das Argument der Verhinderung eines Prozesses BGE 121 I 321 S. 325 nicht, weil der Scheidungsprozess zwischen den Beschwerdeführern bereits rechtshängig ist, so dass ein Gerichtsverfahren durch die in Anspruch genommene aussergerichtliche Rechtsberatung gar nicht mehr verhindert werden könnte. Auch die Begründung, dass Bedürftige ohne Gewährung der unentgeltlichen aussergerichtlichen Rechtsberatung auf die meist summarische Beratung durch Organisationen beschränkt und damit in verfassungswidriger Weise benachteiligt seien, ist nicht stichhaltig. Im Rahmen von gerichtlichen Vergleichsverhandlungen werden den rechtsuchenden Parteien regelmässig Vergleichsvorschläge vorgelegt, und in diesem Zusammenhang wird auch die erforderliche Rechtsberatung gewährt. Insbesondere bei Scheidungsprozessen unterbreiten die über grosse Erfahrung und Sachkunde verfügenden Scheidungsrichter den Parteien im Interesse einer beförderlichen Prozesserledigung häufig eine Scheidungsvereinbarung oder sind ihnen bei der Ausarbeitung einer Konvention behilflich. Umgekehrt ist eine von den Parteien selbst erarbeitete Scheidungskonvention gemäss Art. 158 Ziff. 5 ZGB vom Richter von Amtes auf Zulässigkeit, Vollständigkeit, Klarheit und Angemessenheit zu überprüfen ( BGE 102 II 65 E. 2 S. 68, mit Hinweisen). Entgegen der Meinung der Beschwerdeführer verstösst es schliesslich auch nicht gegen die Verfassung, dass sie im Unterschied zu vermögenden Parteien keine Möglichkeit haben, aussergerichtlich einen Anwalt ihres Vertrauens beizuziehen. Die gemäss Art. 6 Ziff. 1 EMRK und Art. 58 BV verfassungsrechtlich garantierte Unabhängigkeit der Gerichte gewährleistet einen ausreichenden Schutz, im Rahmen von Konventionsverhandlungen durch einen unparteiischen Richter beraten zu werden.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