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245</w:t>
      </w:r>
    </w:p>
    <w:p>
      <w:r>
        <w:t>Bundesgericht (BGE), 1995-01-01, DE</w:t>
      </w:r>
    </w:p>
    <w:p>
      <w:r>
        <w:rPr>
          <w:b/>
        </w:rPr>
        <w:t xml:space="preserve">Quelle: </w:t>
      </w:r>
      <w:r>
        <w:t>https://mcp.opencaselaw.ch/entscheid/bge_BGE_121_I_245</w:t>
      </w:r>
    </w:p>
    <w:p>
      <w:r>
        <w:t>FR: ATF 121 I 245</w:t>
      </w:r>
    </w:p>
    <w:p>
      <w:r>
        <w:t>IT: DTF 121 I 245</w:t>
      </w:r>
    </w:p>
    <w:p>
      <w:pPr>
        <w:pStyle w:val="Heading2"/>
      </w:pPr>
      <w:r>
        <w:t>Regeste</w:t>
      </w:r>
    </w:p>
    <w:p>
      <w:r>
        <w:t>Regeste Art. 22ter BV; Zonenplanung. Planungsfehler; Nichtgenehmigung einer Einzonung von aufgefülltem Land, welches in absehbarer Zeit nicht anders als zu gewerblichen Zwecken genutzt werden wird. Planung und Wirklichkeit sind bei Bedarf in Übereinstimmung zu bringen; eine Einzonung kann aber auch in solchen Fällen nur in Frage kommen, wenn sie im Einklang mit den Planungszielen und -grundsätzen erfolgt (E. 6b). Ob ein Planungsfehler vorliegt, ist primär im Lichte der Richtplanung zu beurteilen (E. 6c-e/aa). Grundsätze für die Erweiterung des Baugebietes in einem nahezu unüberbauten Gebiet zwischen zwei Ortsteilen (E. 6e/bb). Möglichkeit der Festsetzung eines Gestaltungsplanes im Nichtbaugebiet? Entwicklung der Rechtsprechung zu dieser Frage; Bedeutung der Festlegungen in der Richtplanung; Voraussetzungen, unter welchen ein Gestaltungsplan im Nichtbaugebiet zum Zwecke der baulichen Sanierung festgesetzt werden könnte (E. 8).</w:t>
      </w:r>
    </w:p>
    <w:p>
      <w:r>
        <w:t>Regeste Art. 22ter Cst.; planification locale. Erreur de planification; refus de classer en zone à bâtir un terrain remblayé qui ne sera pas, dans un avenir prévisible, utilisé autrement qu'à des fins professionnelles ou commerciales. La planification doit, au besoin, être adaptée à la situation effective; un classement en zone à bâtir n'entre toutefois en considération que si cette mesure correspond aux principes et aux objectifs de l'aménagement local (consid. 6b). L'existence d'une éventuelle erreur de planification doit être examinée principalement sur la base du plan directeur (consid. 6c-e/aa). Principes applicables à l'extension de la zone à bâtir entre deux localités, dans un secteur presque libre de constructions (consid. 6e/bb). Un plan d'aménagement de détail peut-il être adopté pour un périmètre situé hors de la zone à bâtir? État de la jurisprudence sur ce point; portée des mesures prévues par le plan directeur; conditions dans lesquelles un plan d'aménagement de détail pourrait être adopté afin d'assainir les constructions présentes dans un secteur extérieur à la zone à bâtir (consid. 8).</w:t>
      </w:r>
    </w:p>
    <w:p>
      <w:r>
        <w:t>Regesto Art. 22ter Cost.; pianificazione locale. Errore di pianificazione; rifiuto di inserire in zona edificabile un terreno di ripiena che non sarà, in un futuro prevedibile, utilizzato altrimenti che a fini aziendali o commerciali. La pianificazione deve, se necessario, essere adattata alla situazione effettiva; un inserimento in zona edificabile entra in considerazione unicamente se questa misura corrisponde ai principi e agli obbiettivi della pianificazione locale (consid. 6b). La sussistenza di un eventuale errore di pianificazione deve essere esaminato principalmente sulla base del piano direttore (consid. 6c-e/aa). Principi applicabili all'estensione della zona edificabile fra due località, in un settore quasi libero da costruzioni (consid. 6e/bb). Un piano di utilizzazione particolareggiato può essere adottato per un settore situato fuori dalla zona edificabile? Evoluzione della giurisprudenza su questo punto; portata delle misure previste dal piano direttore; condizioni alle quali un piano di utilizzazione particolareggiato potrebbe essere adottato alfine di sanare le costruzioni presenti in un'area esterna alla zona edificabile (consid. 8).</w:t>
      </w:r>
    </w:p>
    <w:p>
      <w:pPr>
        <w:pStyle w:val="Heading2"/>
      </w:pPr>
      <w:r>
        <w:t>Erwägungen</w:t>
      </w:r>
    </w:p>
    <w:p>
      <w:r>
        <w:rPr>
          <w:b/>
        </w:rPr>
        <w:t>E. 6</w:t>
      </w:r>
    </w:p>
    <w:p>
      <w:r>
        <w:t>a) Die Nichtgenehmigung der Einzonung stellt in den Augen der Beschwerdeführer einen Planungsfehler dar (vgl. zum Planungsfehler die in BGE 106 Ia 329 nicht publizierte E. 4, sowie die nicht veröffentlichten Urteile des Bundesgerichtes vom 1. September 1994 i.S. Gemeinde Attelwil, E. 3b, und vom 20. Dezember 1993 i.S. Gemeinde Sagogn, E. 7b). Nach ihren nicht zu bezweifelnden Angaben ist es auszuschliessen, dass ihre Parzellen in absehbarer Zeit anders als zu gewerblichen Zwecken genutzt werden. Daraus leiten sie ab, eine Einzonung sei zur Wahrung ihrer verfassungsrechtlich geschützten Eigentumsrechte ( Art. 22ter BV ) geboten. b) Die Rechtsprechung anerkennt, dass Planung und Wirklichkeit bei Bedarf in Übereinstimmung zu bringen und aus diesem Grunde Nutzungspläne zu ändern bzw. anzupassen sind ( BGE 114 Ia 32 E. 6 S. 33). Eine Einzonung kann aber auch in solchen Fällen nur in Frage kommen, wenn sie im Einklang mit den Planungszielen und -grundsätzen erfolgt (in diesem Sinne der zitierte BGE 114 Ia 32 E. 6 S. 33, wo im Falle der Reduktion einer überdimensionierten Bauzone auf die in Art. 15 des Bundesgesetzes über die Raumplanung vom 22. Juni 1979 [Raumplanungsgesetz, RPG; SR 700] zum Ausdruck kommenden Grundsätze für die Bemessung des Baugebietes hingewiesen wird; vgl. BGE 113 BGE 121 I 245 S. 248 Ia 444 E. 5b S. 455). Der Umstand, dass die fraglichen Grundstücke seit langem gewerblich genutzt werden und sich dies in absehbarer Zeit nicht ändern wird, zieht daher nicht ohne weiteres die Pflicht zu deren Einzonung nach sich. c) Die Nichtgenehmigung der Einzonung kann vorab mit Blick auf die Richtplanung nicht als Planungsfehler betrachtet werden. Nach dem hier massgebenden Gesamtplan von 1978 liegen die drei Parzellen entgegen der Darstellung der Beschwerdeführer nicht im "Anordnungsspielraum", sondern im Bauentwicklungsgebiet. Mit dem neuen Richtplan hat sich daran nichts geändert. Bei dieser Sachlage kann auch von einem unzulässigen Eingriff in das der Gemeinde zustehende Ermessen, im Rahmen des Richtplanes die Grenzen des Baugebietes selbst zu bestimmen ( Art. 2 Abs. 3 RPG ; BGE 112 Ia 281 E. 7a S. 285 f.), keine Rede sein. d) Soweit die Beschwerdeführer eine Einzonungspflicht aus der "Weilerregel" des Gesamtplanes von 1978 ( BGE 113 Ia 192 E. 2c/cc S. 193 f.) ableiten, ist ihnen ebenfalls nicht zu folgen. Bei ihren Grundstücken handelt es sich um gewerblich genutztes Areal und nicht um eine Kleinsiedlung; von einem abgelegenen Ortsteil kann schon gar nicht gesprochen werden. e) Ebenfalls nicht stichhaltig ist das Argument, eine Einzonung sei zulässig, weil es sich dabei nur um eine untergeordnete Abweichung vom Richtplan handeln würde ( § 16 Abs. 2 PBG ). Rein flächenmässig mag dies für die drei Grundstücke wohl zutreffen. Das Bundesgericht hat jedoch wiederholt festgestellt, Kleinbauzonen seien nicht nur unzweckmässig, sondern grundsätzlich gesetzwidrig ( BGE 119 Ia 300 E. 3b S. 303; BGE 116 Ia 339 E. 4 S. 343). Das Verwaltungsgericht hat daher mit Recht darauf hingewiesen, die von der Gemeinde beschlossene Einzonung führe zu einer nicht sachgerechten Abgrenzung des Baugebietes. aa) Die Liegenschaften der Beschwerdeführer liegen planerisch an einer heiklen Lage. Sie befinden sich ungefähr in der Mitte des zwar nicht mehr unberührten, aber doch noch weitgehend unüberbauten Geländes zwischen den beiden Ortsteilen Wangen und Brüttisellen. Eine Einzonung, wie sie die Gemeinde beschloss, hat eine nicht zu unterschätzende präjudizielle Wirkung für ein künftiges Zusammenwachsen der beiden Ortsteile. Die Richtplanung, welche das Gelände als Bauentwicklungsgebiet bezeichnet, schliesst einen solchen Zusammenschluss nicht aus, doch soll er weder im heutigen Zeitpunkt realisiert noch durch eine verfrühte Einzonung von Areal zwischen der Halden-Strasse und der Autobahn gefördert werden. BGE 121 I 245 S. 249 bb) Dass die Gemeinde das Gewerbegebiet zwischen der Halden-Strasse und der Autobahnkreuzung (Areal "Neuwiesen") im Zuge der "kleinen" Zonenplanrevision geringfügig in Richtung "Förliwiesen" ausgedehnt hat, hat nicht zur Folge, dass die Liegenschaften der Beschwerdeführer eingezont werden müssten. Der Grundsatz rechtsgleicher Behandlung hat im Planungsrecht nur eine abgeschwächte Bedeutung. Parzellen ähnlicher Lage und Art können daher unter Vorbehalt des Willkürverbotes völlig verschieden behandelt werden ( BGE 117 Ia 302 E. 4b S. 307; BGE 116 Ia 193 E. 3b S. 195). Die geringfügige Erweiterung des Gewerbegebietes beim Autobahnkreuz lehnt sich an eine bereits bestehende Gewerbezone an und ist daher planerisch anders zu beurteilen als eine Einzonung in den "Förliwiesen". Die Ausdehnung des Gewerbegebietes bei der Autobahn und die bereits in einem früheren Zonenplan festgesetzte Wohnzone mit Gewerbeerleichterung oberhalb der Halden-Strasse bestätigen im übrigen, dass eine Ausdehnung des Baugebietes im Raum zwischen den beiden Ortsteilen auch nach den Vorstellungen der Gemeinde primär nur schrittweise und angelehnt an bereits bestehendes Baugebiet erfolgen soll, was sachgerecht ist. Eine weitgehend isolierte Einzonung in den "Förliwiesen" widerspricht bei dieser Sachlage den eingangs erwähnten Planungsgrundsätzen (E. 6e).</w:t>
      </w:r>
    </w:p>
    <w:p>
      <w:r>
        <w:rPr>
          <w:b/>
        </w:rPr>
        <w:t>E. 7</w:t>
      </w:r>
    </w:p>
    <w:p>
      <w:r>
        <w:t>(Die Nichtgenehmigung der Einzonung stellt keine Verletzung des aus Art. 4 BV fliessenden Grundsatzes von Treu und Glauben dar).</w:t>
      </w:r>
    </w:p>
    <w:p>
      <w:r>
        <w:rPr>
          <w:b/>
        </w:rPr>
        <w:t>E. 8</w:t>
      </w:r>
    </w:p>
    <w:p>
      <w:r>
        <w:t>Zusammenfassend ist festzuhalten, dass die Einwendungen der Beschwerdeführer unbegründet sind. Die staatsrechtliche Beschwerde ist daher abzuweisen, soweit darauf einzutreten ist. a) Trotz dieses Verfahrensausganges ist nicht in Abrede zu stellen, dass die gegebene planungsrechtliche Situation - Zuteilung der fraglichen Parzelle in die Reservezone - nicht in allen Teilen zu befriedigen vermag. Es ist wie gesagt davon auszugehen, dass sich die bestehende gewerbliche Nutzung in absehbarer Zeit nicht ändern wird. Die vor Jahrzehnten bewilligten und in der Folge ausgeführten Terrainveränderungen schliessen eine Rückkehr zu einer landwirtschaftlichen Nutzung nach menschlichem Ermessen aus. Auch führt die geltende Sach- und Rechtslage seit Jahren zu Unsicherheiten, welche sich in jeweils nur befristet erteilten Baubewilligungen manifestieren. Diese Bewilligungspraxis dauert bereits über zwanzig Jahre; die letzten befristeten Bewilligungen sind Ende 1993 abgelaufen. Seither besteht, wie aufgrund der Akten anzunehmen ist, für die BGE 121 I 245 S. 250 von diesen Bewilligungen erfassten Bauten und Anlagen ein Schwebezustand. Eine solche Situation ist planungsrechtlich unerwünscht und liegt weder im Interesse der Eigentümer noch der Gemeinde. Der Regierungsrat hat dies erkannt und vorgeschlagen, für die Grundstücke einen Gestaltungsplan gemäss den § § 83 ff. PBG zu erlassen. b) Im nicht publizierten Urteil vom 2. Februar 1995 i.S. Gemeinde Wädenswil (E. 6b) liess das Bundesgericht die Frage offen, ob die zeitgemässe Erneuerung und massvolle Erweiterung von seit Jahrzehnten bestehenden Gewerbebauten in der Landwirtschaftszone (nach dem Richtplan: im Landwirtschaftsgebiet) mit einem Gestaltungsplan realisiert werden könne, wenn die Grundnutzungsordnung nicht geändert werde. Ein Gestaltungsplan war im betreffenden Fall (noch) nicht erlassen worden. In der Folge hielt das Bundesgericht in zwei ebenfalls nicht veröffentlichten Entscheiden vom 24. März 1995 i.S. Gemeinde Oberembrach und i.S. Gemeinde Stallikon fest, der Erlass eines Gestaltungsplanes für die Realisierung neuer oder die Erweiterung bestehender Bauten (im betreffenden Fall um 128% der Betriebsfläche) käme der Festsetzung einer unzulässigen Kleinstbauzone gleich. Die fraglichen Grundstücke waren der Landwirtschaftszone zugeteilt und lagen nach den Festlegungen des kantonalen Richtplanes auch nicht im Anordnungsspielraum (so ausdrücklich das Urteil Stallikon, E. 4b). Die geplanten bzw. bestehenden Bauten und Anlagen waren nicht landwirtschaftlicher Natur; sie wiesen keinen Zusammenhang mit dem Produktionsfaktor Boden auf. Zudem waren, soweit dies aufgrund der von den kantonalen Behörden getroffenen Sachverhaltsfeststellungen beurteilt werden konnte, die Voraussetzungen für die Erteilung einer Bewilligung nach Art. 24 Abs. 1 oder 2 RPG nicht gegeben. c) Im vorliegenden Fall kann die Frage, ob für die Grundstücke ein Gestaltungsplan erlassen werden kann, um den Interessen der Beschwerdeführer entgegenzukommen, ebenfalls nicht abschliessend beurteilt werden, weil ein solcher Plan nicht festgesetzt wurde. Immerhin besteht Anlass, auf Unterschiede zu den vorstehend genannten drei Fällen hinzuweisen. aa) Die Grundstücke der Beschwerdeführer sind im Gegensatz zu den zitierten Fällen nicht einer Landwirtschaftszone ( Art. 16 RPG ) zugeteilt. Sie befinden sich in der Reservezone ( § 65 PBG ; BGE 116 Ia 328 E. 3 S. 330 f.). Dieser Zone werden unter anderem Gebiete zugeteilt, deren Nutzung erst später zugelassen wird ( Art. 18 Abs. 2 RPG ). Die "Förliwiesen" werden im BGE 121 I 245 S. 251 kantonalen Richtplan als Bauentwicklungsgebiet bezeichnet, was bedeutet, dass sie in 20-25 Jahren grundsätzlich für eine bauliche Nutzung in Frage kommen und erschlossen werden sollen ( § 21 Abs. 2 und 3 PBG ). Wird beachtet, dass der Richtplan in den Grundzügen bestimmt, wie sich ein Gebiet räumlich entwickeln soll ( Art. 6 Abs. 1 RPG ), kann - aus der verlangten planerischen Gesamtschau heraus betrachtet (Art. 4 Abs. 3 der Verordnung über die Raumplanung vom 2. Oktober 1989 [RPV; SR 700.1]) - nicht gesagt werden, eine nutzungsplanerische Ordnung der (bestehenden) Überbauung laufe zum vorneherein der anzustrebenden Siedlungsentwicklung entgegen (vgl. Art. 6 Abs. 3 lit. a RPG ). bb) Die geltenden Festlegungen in der Zonenplanung haben wie erwähnt in der Praxis zu Unsicherheiten namentlich bei der Erteilung von Bewilligungen geführt, was nicht nur für alle Beteiligten unbefriedigend ist. Bei tatsächlichen Verhältnissen, wie sie hier vorliegen, und bei der gegebenen planerischen Ausgangslage ist nicht auszuschliessen, dass ein auf die Grundstücke der Beschwerdeführer beschränkter Gestaltungsplan ein sachgerechtes Mittel darstellt, die bereits seit Jahrzehnten bestehende Gewerbenutzung in geordnete Bahnen zu lenken. Ein solcher Gestaltungsplan müsste, soll er keine unzulässige Kleinbauzone darstellen, in erster Linie Sanierungszwecken dienen. Wie STEPHAN ESCHMANN (Der Gestaltungsplan nach zürcherischem Recht, Diss. Zürich 1984, S. 65 f.) darlegt, lässt das Zürcher Planungs- und Baugesetz einen Gestaltungsplan mit diesem Zweck zu, sofern - wie hier - die Neugestaltung einer bereits bestehenden Überbauung (auch) im öffentlichen Interesse liegt. cc) Die Beschwerdeführer lehnen zwar aus Kostengründen einen Gestaltungsplan ab. Sie werden jedoch in ihrem eigenen Interesse ihren Standpunkt überprüfen müssen. Für eine planerisch sachgerechte Lösung müssen auch die Gemeinde und der Kanton Hand bieten. Nur so kann sichergestellt werden, dass für die drei Grundstücke eine planerische Festsetzung gefunden wird, welche eine zweckmässige Bodennutzung sowie eine auch im Lichte des Grundsatzes der Rechtssicherheit geordnete Überbauung gewährleistet ( Art. 22quater Abs. 1 BV , Art. 1 Abs. 1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