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269</w:t>
      </w:r>
    </w:p>
    <w:p>
      <w:r>
        <w:t>Bundesgericht (BGE), 1995-01-01, DE</w:t>
      </w:r>
    </w:p>
    <w:p>
      <w:r>
        <w:rPr>
          <w:b/>
        </w:rPr>
        <w:t xml:space="preserve">Quelle: </w:t>
      </w:r>
      <w:r>
        <w:t>https://mcp.opencaselaw.ch/entscheid/bge_BGE_121_IV_269</w:t>
      </w:r>
    </w:p>
    <w:p>
      <w:r>
        <w:t>FR: ATF 121 IV 269</w:t>
      </w:r>
    </w:p>
    <w:p>
      <w:r>
        <w:t>IT: DTF 121 IV 269</w:t>
      </w:r>
    </w:p>
    <w:p>
      <w:pPr>
        <w:pStyle w:val="Heading2"/>
      </w:pPr>
      <w:r>
        <w:t>Regeste</w:t>
      </w:r>
    </w:p>
    <w:p>
      <w:r>
        <w:t>Regeste Art. 185 Ziff. 2 StGB; qualifizierte Geiselnahme; Drohung, das Opfer zu töten; Einsatz einer ungeladenen Pistole. Objektive Voraussetzung der Qualifikation aufgrund der Umstände bejaht bei einer Geiselnahme, bei welcher der Täter die Geisel in Anwesenheit der Polizei mit einer ungeladenen Pistole bedroht hat (E. 1c; Konkretisierung der mit BGE 121 IV 178 begründeten Rechtsprechung).</w:t>
      </w:r>
    </w:p>
    <w:p>
      <w:r>
        <w:t>Regeste Art. 185 ch. 2 CP; prise d'otage qualifiée; menace de tuer la victime; utilisation d'un pistolet non chargé. Admission de la réalisation objective de la circonstance aggravante dans le cas d'une prise d'otage où l'auteur avait menacé la victime au moyen d'un pistolet non chargé, en présence de la police (consid. 1c; concrétisation de la jurisprudence exposée aux ATF 121 IV 178).</w:t>
      </w:r>
    </w:p>
    <w:p>
      <w:r>
        <w:t>Regesto Art. 185 n. 2 CP; presa d'ostaggio aggravata; minaccia di uccidere la vittima; impiego di una pistola scarica. È realizzato l'elemento oggettivo della circostanza aggravante nel caso di una presa d'ostaggio in cui l'autore ha minacciato la vittima mediante una pistola scarica in presenza della polizia (consid. 1c; concretizzazione della giurisprudenza esposta nella DTF 121 IV 178).</w:t>
      </w:r>
    </w:p>
    <w:p>
      <w:pPr>
        <w:pStyle w:val="Heading2"/>
      </w:pPr>
      <w:r>
        <w:t>Erwägungen</w:t>
      </w:r>
    </w:p>
    <w:p>
      <w:r>
        <w:rPr>
          <w:b/>
        </w:rPr>
        <w:t>E. 1</w:t>
      </w:r>
    </w:p>
    <w:p>
      <w:r>
        <w:t>a) Gemäss Art. 185 Ziff. 1 Abs. 1 StGB wird mit Zuchthaus bestraft, wer jemanden der Freiheit beraubt, entführt oder sich seiner sonstwie bemächtigt, um einen Dritten zu einer Handlung, Unterlassung oder Duldung zu nötigen. Die Strafe ist Zuchthaus nicht unter drei Jahren, wenn der Täter droht, das Opfer zu töten, körperlich schwer zu verletzen oder grausam zu behandeln ( Art. 185 Ziff. 2 StGB ). Der Beschwerdegegner hat den Grundtatbestand der Geiselnahme unstreitig erfüllt. Es stellt sich einzig die Frage, ob die Qualifikation nach Ziff. 2 gegeben sei. b) (Zusammenfassung der mit BGE 121 IV 178 begründeten Rechtsprechung). c) P. wusste nicht, dass der Beschwerdegegner seine Pistole nur mit einer einzigen Patrone geladen hatte. Sie glaubte nach den verbindlichen tatsächlichen Feststellungen der Vorinstanz ( Art. 277bis Abs. 1 BStP ), der Beschwerdegegner könne seine Drohung wahrmachen. Sie wurde deshalb in Todesangst versetzt. Es bestand für sie somit das Risiko eines Schocks. Ihre psychische Belastung während der Geiselnahme war beträchtlich. Sie war dabei, als der Beschwerdegegner N. bedroht und dabei einen Schuss abgegeben hatte, und sie befürchtete in der ersten Phase im Restaurant, dass der Beschwerdegegner sie erschiessen würde. Der Beschwerdegegner, der nach den Feststellungen im angefochtenen Entscheid sehr nervös war, richtete die Pistole wiederholt gegen ihren Kopf. Er versetzte ihr zudem mit der Pistole einen Schlag. Aus dem angefochtenen Urteil geht zwar nicht hervor, wie lange die Geiselnahme genau gedauert hat. Aufgrund des Ablaufs der Ereignisse - der Beschwerdegegner begab sich mit der Geisel zunächst in den oberen Stock des Restaurants, dann wieder ins Parterre, anschliessend vor das Restaurant und schliesslich zu seinem Personenwagen - liegt es jedoch auf der Hand, dass die Geiselnahme länger als nur, wie in BGE 121 IV 178 , einige Sekunden gedauert hat. Es bestand überdies die naheliegende Möglichkeit einer Befreiungsaktion durch die Polizei mit Risiken auch für die Geisel. Bereits zu Beginn der Geiselnahme waren zwei Polizeibeamte mit gezogener Dienstwaffe anwesend. Später traf auch noch die Überfallgruppe der Stadtpolizei Zürich am Tatort ein. Trotz dieser Polizeipräsenz setzte der Beschwerdegegner die Geiselnahme fort. BGE 121 IV 269 S. 272 Bei dieser Sachlage sind die Rechtsgüter der Geisel objektiv erheblich stärker beeinträchtigt worden, als das beim Grundtatbestand der Fall ist. In BGE 121 IV 178 wurde ausdrücklich darauf hingewiesen, dass es sich dort um einen Grenzfall handelte (E. 2e). Hier sind die Rechtsgüter der Geisel aber deutlich stärker betroffen worden: Im Unterschied zu jenem Fall gab der Beschwerdegegner vor der Geiselnahme in Anwesenheit der späteren Geisel einen Schuss ab. Er hielt der Geisel die Pistole wiederholt gegen den Kopf und versetzte ihr zudem mit der Waffe einen Schlag; in BGE 121 IV 178 tat der Täter der Geisel über die kurze Bedrohung hinaus demgegenüber nichts an. Im vorliegenden Fall schliesslich waren Polizeibeamte am Tatort mit gezogener Dienstwaffe anwesend, in dem in BGE 121 IV 178 zu beurteilenden Fall dagegen nicht. d) Die Beschwerde ist deshalb gutzuheissen und die Sache zur Neubeurteilung an die Vorinstanz zurückzuweisen. Sie wird sich darüber auszusprechen haben, ob die gegenüber dem Grundtatbestand objektiv erheblich stärkere Beeinträchtigung der Rechtsgüter der Geisel vom Vorsatz des Beschwerdegegners umfasst war. Bejahendenfalls wird sie ihn der qualifizierten Geiselnahme nach Art. 185 Ziff. 2 StGB schuldig zu sprechen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