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230</w:t>
      </w:r>
    </w:p>
    <w:p>
      <w:r>
        <w:t>Bundesgericht (BGE), 1995-01-01, DE</w:t>
      </w:r>
    </w:p>
    <w:p>
      <w:r>
        <w:rPr>
          <w:b/>
        </w:rPr>
        <w:t xml:space="preserve">Quelle: </w:t>
      </w:r>
      <w:r>
        <w:t>https://mcp.opencaselaw.ch/entscheid/bge_BGE_121_IV_230</w:t>
      </w:r>
    </w:p>
    <w:p>
      <w:r>
        <w:t>FR: ATF 121 IV 230</w:t>
      </w:r>
    </w:p>
    <w:p>
      <w:r>
        <w:t>IT: DTF 121 IV 230</w:t>
      </w:r>
    </w:p>
    <w:p>
      <w:pPr>
        <w:pStyle w:val="Heading2"/>
      </w:pPr>
      <w:r>
        <w:t>Regeste</w:t>
      </w:r>
    </w:p>
    <w:p>
      <w:r>
        <w:t>Regeste Art. 90 Ziff. 2 und 32 Abs. 1 SVG, Art. 4a Abs. 1 lit. b VRV; Überschreiten der allgemeinen Höchstgeschwindigkeit ausserorts, grobe Verkehrsregelverletzung. Eine übersetzte Geschwindigkeit stellt auch ausserorts eine erhebliche Gefahr dar. Zu einer Milderung der Rechtsprechung, wonach bei Überschreiten der zulässigen Höchstgeschwindigkeit um deutlich mehr als 30 km/h ungeachtet der konkreten Umstände eine grobe Verkehrsregelverletzung anzunehmen ist, besteht kein Anlass. Fragen kann man sich höchstens, ob die Praxis zu verschärfen und angesichts der insoweit teilweise abweichenden Gefahrenlage künftig danach zu unterscheiden sei, ob die Geschwindigkeitsvorschriften innerorts, ausserorts oder auf der Autobahn missachtet wurden (E. 2c).</w:t>
      </w:r>
    </w:p>
    <w:p>
      <w:r>
        <w:t>Regeste Art. 90 ch. 2 et 32 al. 1 LCR, art. 4a al. 1 let. b OCR; dépassement de la limitation générale de la vitesse hors des localités, violation grave d'une règle de la circulation. Une vitesse excessive crée un important danger également hors des localités. Il n'y a pas de motif d'atténuer la sévérité de la jurisprudence d'après laquelle un excès de vitesse nettement supérieur à 30 km/h constitue une violation grave des règles de la circulation, sans égard aux circonstances concrètes. On peut tout au plus se demander si la pratique doit être plus sévère et s'il ne faut pas distinguer à l'avenir, compte tenu des différences quant à la gravité de la mise en danger, les excès de vitesse commis dans les localités, hors des localités ou sur les autoroutes (consid. 2c).</w:t>
      </w:r>
    </w:p>
    <w:p>
      <w:r>
        <w:t>Regesto Art. 90 n. 2 e 32 cpv. 1 LCS, art. 4a cpv. 1 lett. b ONC; superamento della velocità massima consentita fuori delle località, grave violazione di una regola della circolazione stradale. Un eccesso di velocità costituisce un serio pericolo pure fuori delle località. Non vi è motivo d'attenuare la giurisprudenza secondo cui un eccesso di velocità nettamente superiore ai 30 km/h costituisce, senza riguardo alle circostanze concrete, una grave violazione delle regole della circolazione stradale. Ci si può tutt'al più chiedere se la prassi non debba essere inasprita e, tenuto conto del diverso grado di messa in pericolo, non si debba in futuro distinguere fra gli eccessi di velocità commessi nelle località, fuori delle località e sulle autostrade (consid. 2c).</w:t>
      </w:r>
    </w:p>
    <w:p>
      <w:pPr>
        <w:pStyle w:val="Heading2"/>
      </w:pPr>
      <w:r>
        <w:t>Erwägungen</w:t>
      </w:r>
    </w:p>
    <w:p>
      <w:r>
        <w:rPr>
          <w:b/>
        </w:rPr>
        <w:t>E. 1</w:t>
      </w:r>
    </w:p>
    <w:p>
      <w:r>
        <w:t>a) Die Vorinstanz legt dar, der Beschwerdeführer habe eine für die Verkehrssicherheit grundlegende Verkehrsregel krass verletzt. Dadurch habe er eine erhöhte abstrakte Gefahr für die Sicherheit anderer geschaffen. Bei einer derartigen Geschwindigkeitsüberschreitung sei die naheliegende Möglichkeit einer konkreten Gefährdung oder Verletzung und damit die ernstliche Gefahr für die Sicherheit anderer im Sinne von Art. 90 Ziff. 2 SVG selbst bei günstigsten Verkehrsverhältnissen zu bejahen, ohne dass die konkreten Umstände näher abzuklären seien. Der Beschwerdeführer habe mindestens grobfahrlässig gehandelt. Seine Fahrweise sei rücksichtslos gewesen, zumal jedem vernünftigen Automobilisten die Gefahren und Unfallträchtigkeit einer derart massiven Geschwindigkeitsüberschreitung bekannt seien oder zumindest sein müssten. b) Der Beschwerdeführer macht geltend, er habe sich lediglich nach Art. 90 Ziff. 1 SVG strafbar gemacht. Die Voraussetzungen von Art. 90 Ziff. 2 SVG seien nicht gegeben.</w:t>
      </w:r>
    </w:p>
    <w:p>
      <w:r>
        <w:rPr>
          <w:b/>
        </w:rPr>
        <w:t>E. 2</w:t>
      </w:r>
    </w:p>
    <w:p>
      <w:r>
        <w:t>a) aa) Die Geschwindigkeit ist stets den Umständen anzupassen, namentlich den Besonderheiten von Fahrzeug und Ladung sowie den Strassen-, Verkehrs- und Sichtverhältnissen. Wo das Fahrzeug den Verkehr stören BGE 121 IV 230 S. 232 könnte, ist langsam zu fahren und nötigenfalls anzuhalten, namentlich vor unübersichtlichen Stellen, vor nicht frei überblickbaren Strassenverzweigungen sowie vor Bahnübergängen ( Art. 32 Abs. 1 SVG ). Die allgemeine Höchstgeschwindigkeit für Fahrzeuge beträgt unter günstigen Strassen-, Verkehrs- und Sichtverhältnissen 80 km/h ausserhalb von Ortschaften, ausgenommen auf Autobahnen (Art. 4a Abs. 1 lit. b der Verkehrsregelnverordnung [VRV; SR 741.11]). bb)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Gemäss Art. 16 Abs. 2 SVG kann der Führer- oder Lernfahrausweis entzogen werden, wenn der Führer Verkehrsregeln verletzt und dadurch den Verkehr gefährdet oder andere belästigt hat (Satz 1). In leichten Fällen kann eine Verwarnung ausgesprochen werden (Satz 2). Der Führer- oder Lernfahrausweis muss entzogen werden, wenn der Führer den Verkehr in schwerer Weise gefährdet hat ( Art. 16 Abs. 3 lit. a SVG ). b) aa)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 BGE 118 IV 197 E. 2, 84 E. 2a mit Hinweisen). Eine ernstliche Gefahr für die Sicherheit anderer im Sinne von Art. 90 Ziff. 2 SVG ist bereits bei einer erhöhten abstrakten Gefährdung gegeben. Die erhöhte abstrakte Gefahr setzt die naheliegende Möglichkeit einer konkreten Gefährdung oder Verletzung voraus ( BGE 118 IV 285 E. 3). Wer durch grobe Verletzung der Verkehrsregeln im Sinne von Art. 90 Ziff. 2 SVG eine ernstliche Gefahr für die Sicherheit anderer hervorruft oder in Kauf nimmt, gefährdet in schwerer Weise den Verkehr im Sinne von Art. 16 Abs. 3 lit. a SVG . Diese beiden Vorschriften stimmen inhaltlich miteinander überein ( BGE 120 Ib 285 ). bb) Wird die zulässige Höchstgeschwindigkeit um deutlich mehr als 30 km/h überschritten, sind die Voraussetzungen von Art. 90 Ziff. 2 bzw. Art. 16 BGE 121 IV 230 S. 233 Abs. 3 lit. a SVG ungeachtet der konkreten Umstände erfüllt ( BGE 118 IV 188 E. 2b; BGE 119 Ib 154 E. 2a). Eine solche deutliche Überschreitung der Grenze von 30 km/h hat das Bundesgericht bejaht bei einem Fahrzeuglenker, der auf der Autobahn die Höchstgeschwindigkeit um 37 km/h überschritten hatte ( BGE 118 IV 188 E. 2b). In BGE 121 II 127 schützte das Bundesgericht den Entscheid der kantonalen Behörde, die einen mittelschweren Fall nach Art. 16 Abs. 2 Satz 1 SVG annahm bei einer Fahrzeuglenkerin, welche die zulässige Höchstgeschwindigkeit innerorts um 27 km/h überschritten hatte. Es liess offen, ob nicht sogar ein schwerer Fall nach Art. 16 Abs. 3 lit. a SVG anzunehmen gewesen wäre, da eine Erhöhung der Dauer des Führerausweisentzugs aus prozessualen Gründen ausser Betracht fiel (E. 4d). c) Der Beschwerdeführer hat die allgemeine Höchstgeschwindigkeit ausserorts um 43 km/h überschritten. Diese 43 km/h liegen deutlich über der Grenze von 30 km/h. Der Beschwerdeführer hat sich deshalb im Lichte der Rechtsprechung ungeachtet der konkreten Umstände der groben Verkehrsregelverletzung nach Art. 90 Ziff. 2 SVG schuldig gemacht. Bei den Vorschriften über die Geschwindigkeit handelt es sich um grundlegende Verkehrsregeln. Sie sind wesentlich für die Gewährleistung der Sicherheit des Strassenverkehrs. Der Beschwerdeführer hat die allgemeine Höchstgeschwindigkeit ausserorts in schwerwiegender Weise missachtet. Wie die Vorinstanz verbindlich feststellt ( Art. 277bis Abs. 1 BStP ), gab es bei der Messstelle eine Privatausfahrt und rund 80 m danach eine Einmündung links. Der Beschwerdeführer musste somit gewärtigen, dass Fahrzeuge auf die Fahrbahn einbiegen würden. Er musste ausserdem mit Fussgängern und Velofahrern rechnen, zumal nach den verbindlichen Feststellungen im angefochtenen Entscheid rechts der Strasse eine lockere Überbauung bestand. Diese anderen Verkehrsteilnehmer durften sich, auch soweit sie wartepflichtig waren, auf den Vertrauensgrundsatz berufen ( BGE 120 IV 252 E. 2d/aa). Sie mussten sich nicht darauf einstellen, dass ein Fahrzeug mit einer derart übersetzten Geschwindigkeit wie hier herannahen würde. Wie das Bundesgericht in BGE 118 IV 277 dargelegt hat, muss auf Hauptstrassen ausserorts generell mit Geschwindigkeiten von über rund 90 km/h nicht gerechnet werden. Vom Vertrauensgrundsatz ausgehen durften auch die Fahrzeuglenker aus der Gegenrichtung. Diese mussten - namentlich vor der Einleitung eines Überholmanövers - nicht gewärtigen, dass ihnen ein Auto BGE 121 IV 230 S. 234 mit einer Geschwindigkeit von 123 km/h entgegenkommt. Zumindest die konkrete Gefährdung anderer Verkehrsteilnehmer lag bei dieser Sachlage nahe. Die Vorinstanz hat deshalb zu Recht eine erhöhte abstrakte Gefahr bejaht. Zutreffend wirft sie dem Beschwerdeführer Rücksichtslosigkeit vor. Wer die Höchstgeschwindigkeit ausserorts derart massiv überschreitet, tut das in der Regel vorsätzlich, mindestens aber grobfahrlässig. Ob sich der Beschwerdeführer korrekt verhalten hätte, wenn er mit 80 km/h gefahren wäre, kann offenbleiben. Wie bereits in BGE 121 II 127 E. 4a hervorgehoben wurde, kann eine Geschwindigkeit auch dann den Verhältnissen nicht angepasst und deshalb gemäss Art. 32 Abs. 1 SVG vorschriftswidrig sein, wenn sie im Rahmen der allgemeinen Höchstgeschwindigkeit nach Art. 4a Abs. 1 VRV liegt. Die allgemeine Höchstgeschwindigkeit gemäss Art. 4a Abs. 1 VRV ist nicht die Geschwindigkeit, die unter allen Umständen ausgefahren werden kann; es ist die Geschwindigkeit, mit der unter günstigen Strassen-, Verkehrs- und Sichtverhältnissen gefahren werden darf. So hat das Bundesgericht in BGE 120 Ib 312 sogar eine schwere Verkehrsgefährdung nach Art. 16 Abs. 3 lit. a SVG angenommen bei einem Fahrzeuglenker, der trotz starkem Regen auf der Autobahn mit einer Geschwindigkeit von ca. 120 km/h fuhr und infolge Aquaplanings ins Schleudern geriet (E. 4c). Der Kassationshof hat in BGE 121 II 127 auf die besonderen Gefahren von Geschwindigkeitsüberschreitungen innerorts hingewiesen (E. 4b). Die Gefahrenlage stellt sich ausserorts teilweise anders dar. Die Zahl der vom Lenker zu verarbeitenden Reize ist ausserorts geringer als innerorts. Auch ausserorts sind jedoch schwache Verkehrsteilnehmer (Velofahrer, Fussgänger) vorhanden. Zudem besteht hier ebenfalls die Gefahr von Seitenkollisionen. Welche Risiken bei der Überschreitung der Höchstgeschwindigkeit ausserorts bestehen, zeigen physikalische Berechnungen: Fährt ein Auto mit einer Bremsausgangsgeschwindigkeit von 90 km/h statt mit einer solchen von 80 km/h, hat es dort, wo es bei einer Vollbremsung mit 80 km/h stillstehen würde, immer noch eine Geschwindigkeit von 47,3 km/h; bei einer Bremsausgangsgeschwindigkeit von 100 km/h noch eine solche von 68,4 km/h; bei einer Bremsausgangsgeschwindigkeit von 110 km/h noch eine solche von 85,6 km/h; bei einer Bremsausgangsgeschwindigkeit von 120 km/h noch eine solche von 100,8 km/h (Bericht von Prof. Dr. Felix Walz, Institut für Rechtsmedizin, Universität Zürich, zu Handen des Kassationshofes). Solche BGE 121 IV 230 S. 235 Aufprallgeschwindigkeiten können insbesondere bei Kollisionen mit Fussgängern und Zweiradfahrern schwerste Folgen haben. Wie in BGE 121 II 127 bereits dargelegt, sind bei Fahrzeug-Fussgänger-Kollisionen ab einer Kollisionsgeschwindigkeit von 45 km/h tödliche Verletzungen sehr wahrscheinlich. Aber auch bei Kollisionen zwischen Fahrzeugen, insbesondere bei Seiten- und Frontalkollisionen, können die genannten Aufprallgeschwindigkeiten gravierende Auswirkungen haben. Zu einer Änderung der Rechtsprechung im Sinne einer Milderung besteht kein Anlass. Fragen kann man sich höchstens, ob die Praxis zu verschärfen und angesichts der insoweit teilweise abweichenden Gefahrenlage künftig danach zu unterscheiden sei, ob die Geschwindigkeitsvorschriften innerorts, ausserorts oder auf der Autobahn missachtet wurden.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