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193</w:t>
      </w:r>
    </w:p>
    <w:p>
      <w:r>
        <w:t>Bundesgericht (BGE), 1995-01-01, FR</w:t>
      </w:r>
    </w:p>
    <w:p>
      <w:r>
        <w:rPr>
          <w:b/>
        </w:rPr>
        <w:t xml:space="preserve">Quelle: </w:t>
      </w:r>
      <w:r>
        <w:t>https://mcp.opencaselaw.ch/entscheid/bge_BGE_121_IV_193</w:t>
      </w:r>
    </w:p>
    <w:p>
      <w:r>
        <w:t>FR: ATF 121 IV 193</w:t>
      </w:r>
    </w:p>
    <w:p>
      <w:r>
        <w:t>IT: DTF 121 IV 193</w:t>
      </w:r>
    </w:p>
    <w:p>
      <w:pPr>
        <w:pStyle w:val="Heading2"/>
      </w:pPr>
      <w:r>
        <w:t>Regeste</w:t>
      </w:r>
    </w:p>
    <w:p>
      <w:r>
        <w:t>Regeste Art. 63 StGB; Strafzumessung, Reinheitsgrad des Betäubungsmittels. Steht nicht fest, dass der Beschuldigte ein ausgesprochen reines oder ein besonders stark gestrecktes Betäubungsmittel liefern wollte, spielt der genaue Reinheitsgrad für die Gewichtung des Verschuldens und bei der Strafzumessung keine Rolle. Die genaue Betäubungsmittelmenge und gegebenenfalls ihr Reinheitsgrad verlieren an Bedeutung, wenn mehrere Qualifikationsgründe gemäss Art. 19 Ziff. 2 BetmG gegeben sind, und sie werden umso weniger wichtig, je deutlicher der Grenzwert im Sinne von Art. 19 Ziff. 2 lit. a BetmG überschritten ist (E. 2b/aa).</w:t>
      </w:r>
    </w:p>
    <w:p>
      <w:r>
        <w:t>Regeste Art. 63 CP; fixation de la peine, degré de pureté de la drogue. Lorsqu'il n'est pas établi que l'accusé aurait voulu fournir une drogue particulièrement pure ou particulièrement diluée, la question du taux de pureté exact ne joue pas de rôle pour apprécier la gravité de sa faute et, partant, pour fixer la peine. D'ailleurs, la quantité exacte de drogue en jeu et, le cas échéant, le degré de pureté de celle-ci perdent de l'importance lorsque plusieurs circonstances aggravantes prévues par l'art. 19 ch. 2 LStup sont réalisées et à mesure que l'on s'éloigne de la limite à partir de laquelle le cas doit être considéré comme grave au sens de l'art. 19 ch. 2 let. a LStup (consid. 2b/aa).</w:t>
      </w:r>
    </w:p>
    <w:p>
      <w:r>
        <w:t>Regesto Art. 63 CP; commisurazione della pena, grado di purezza della droga. Allorché non risulta che l'imputato intendeva fornire della droga particolarmente pura o particolarmente diluita, l'esatto grado di purezza non ha alcuna rilevanza per la valutazione della sua colpa e la commisurazione della pena. D'altronde, la quantità esatta della droga e il suo grado di purezza perdono d'importanza allorquando sono realizzate più circostanze aggravanti ai sensi dell'art. 19 n. 2 LS, e man mano che il limite di cui all'art. 19 n. 2 lett. a LS viene superato (consid. 2b/aa).</w:t>
      </w:r>
    </w:p>
    <w:p>
      <w:pPr>
        <w:pStyle w:val="Heading2"/>
      </w:pPr>
      <w:r>
        <w:t>Erwägungen</w:t>
      </w:r>
    </w:p>
    <w:p>
      <w:r>
        <w:rPr>
          <w:b/>
        </w:rPr>
        <w:t>E. 1</w:t>
      </w:r>
    </w:p>
    <w:p>
      <w:r>
        <w:t>(Recevabilité).</w:t>
      </w:r>
    </w:p>
    <w:p>
      <w:r>
        <w:rPr>
          <w:b/>
        </w:rPr>
        <w:t>E. 2</w:t>
      </w:r>
    </w:p>
    <w:p>
      <w:r>
        <w:t>a) Invoquant une violation de l' art. 63 CP , le recourant soutient que la peine qui lui a été infligée est exagérément sévère.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120 IV 136 consid. 3a et les arrêts cités). Les éléments pertinents pour la fixation de la peine ont été exposés de manière détaillée dans les ATF 117 IV 112 consid. 1 et ATF 116 IV 288 consid. 2a, auxquels on peut se référer. b) Le recourant critique la peine qui lui a été infligée, en faisant valoir deux arguments précis. BGE 121 IV 193 S. 196 aa) Il soutient que la gravité de sa faute aurait dû être appréciée en prenant en compte non pas la quantité totale de drogue, soit 3,1 kg, mais seulement la quantité de drogue pure, étant rappelé que l'autorité cantonale a admis que les stupéfiants livrés avaient un taux de pureté moyen évalué à 30%. Selon une jurisprudence récente, c'est la quantité de drogue pure sur laquelle a porté l'infraction qui doit être prise en considération pour déterminer si le cas est grave au sens de l' art. 19 ch. 2 let. a LStup ( ATF 119 IV 180 consid. 2d). Cette jurisprudence repose sur la notion de "quantité de stupéfiants qui peut mettre en danger la santé de nombreuses personnes", qui est déterminante pour distinguer le cas simple du cas grave prévu par l' art. 19 ch. 2 let. a LStup . Elle ne s'applique en revanche pas à la fixation de la peine, contexte dans lequel la question se pose de manière fort différente. En effet, la quotité de la peine doit être fixée en fonction de la gravité de la faute imputable à l'auteur et non du danger que représente la drogue sur laquelle a porté le trafic. Il s'agit là certes de l'un des éléments pertinents pour apprécier la gravité de la faute, mais qui est à estimer conjointement avec plusieurs autres, sans revêtir une importance prépondérante ( ATF 118 IV 342 consid. 2c). C'est tout un ensemble de données relatives aux circonstances de l'infraction et à la personne de l'auteur qui doivent être prises en considération. La quantité de drogue en jeu et, le cas échéant, la pureté de celle-ci est d'autant moins déterminante que l'on s'éloigne de la limite à partir de laquelle le cas doit être considéré comme grave au sens de l' art. 19 ch. 2 let. a LStup . De même, cet élément perd de l'importance lorsque plusieurs des circonstances aggravantes prévues à l' art. 19 ch. 2 LStup sont réalisées. En l'espèce, il a été admis que le recourant avait réalisé les trois hypothèses de cas grave prévues par l' art. 19 ch. 2 LStup et qu'il avait joué un rôle primordial dans le trafic en cause. Dans ces conditions, les constatations cantonales desquelles il ressort que le recourant a livré, avec conscience et volonté, au moins 3,1 kg de drogue dure, au sens où ce produit est habituellement vendu sur le marché en vue d'être consommé, sont suffisantes. Certes, comme il est d'usage, la drogue n'était pas pure à 100%, mais puisqu'il ne ressort pas des constatations cantonales que le recourant aurait voulu fournir une drogue particulièrement pure ou particulièrement diluée, la question du taux de pureté exact ne joue pas de rôle pour apprécier la gravité de sa faute. BGE 121 IV 193 S. 197 Lorsque le recourant tente de soutenir que la peine qui lui a été infligée est excessive pour une quantité de 930 g de drogue pure, il fausse les termes d'une éventuelle comparaison. En effet, la drogue n'étant en pratique jamais vendue pure, il est toujours pris en considération la quantité que l'auteur avait en vue, sachant que la drogue est plus ou moins diluée et qu'il s'agit de la marchandise ordinairement vendue sur le marché en vue d'être consommée. On ne discerne donc pas de violation du droit fédéral dans l'appréciation de la faute commise par le recourant. bb) Citant des passages de conversations téléphoniques surveillées, le recourant soutient que son activité a été moins importante qu'il n'a été retenu, et il conteste avoir été guidé par le seul profit et avoir agi comme un professionnel. Déterminer ce qu'une personne a fait, de quelle manière elle a organisé son activité délictueuse, et quel était son état d'esprit relève des constatations de fait qui lient la Cour de cassation (cf. ATF 120 IV 117 consid. 2a, 119 IV 222 consid. 2, ATF 118 IV 122 consid. 1, 167 consid. 4). L'argumentation du recourant revient sur ce point à s'écarter des constatations de fait cantonales, ce qui n'est pas admissible dans le cadre d'un pourvoi en nullité. c) En l'espèce, la peine a été fixée dans le cadre légal (art. 19 ch. 1 in fine LStup), en suivant les critères posés par l' art. 63 CP et sans se laisser guider par des considérations étrangères à cette disposition. Le recourant ne peut d'ailleurs citer aucun élément important, propre à modifier la quotité de la peine, qui aurait été omis. Il résulte des faits retenus - qui lient la Cour de cassation - que le recourant, qui aurait pu mener une vie honnête en France, s'est lancé, par appât du gain, dans un trafic portant sur une grande quantité de drogue particulièrement dangereuse, employant des tiers pour transporter la drogue et fournissant d'importants revendeurs; sur une période relativement courte, il a réalisé ainsi un bénéfice de 186'000 fr., en faisant fi de la santé d'autrui; toutes les hypothèses de cas graves envisagées par le législateur à l' art. 19 ch. 2 LStup sont ici réalisées. Dès lors, même en tenant compte de l'absence d'antécédents et des difficultés personnelles relatées par l'autorité cantonale, la faute commise apparaît très lourde et on ne saurait dire que la peine infligée, compte tenu du cadre légal et des peines usuelles (cf. ATF 120 IV 136 consid. 3b), est exagérément sévère au point de constituer un abus du pouvoir d'appréciation.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