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219</w:t>
      </w:r>
    </w:p>
    <w:p>
      <w:r>
        <w:t>Bundesgericht (BGE), 1995-01-01, IT</w:t>
      </w:r>
    </w:p>
    <w:p>
      <w:r>
        <w:rPr>
          <w:b/>
        </w:rPr>
        <w:t xml:space="preserve">Quelle: </w:t>
      </w:r>
      <w:r>
        <w:t>https://mcp.opencaselaw.ch/entscheid/bge_BGE_121_II_219</w:t>
      </w:r>
    </w:p>
    <w:p>
      <w:r>
        <w:t>FR: ATF 121 II 219</w:t>
      </w:r>
    </w:p>
    <w:p>
      <w:r>
        <w:t>IT: DTF 121 II 219</w:t>
      </w:r>
    </w:p>
    <w:p>
      <w:pPr>
        <w:pStyle w:val="Heading2"/>
      </w:pPr>
      <w:r>
        <w:t>Regeste</w:t>
      </w:r>
    </w:p>
    <w:p>
      <w:r>
        <w:t>Regeste Art. 6 Ziff. 1 EMRK, Art. 16 Abs. 2 und 3 SVG, Art. 98a OG; Führerausweisentzug, Garantie eines unabhängigen und unparteiischen Gerichts, Öffentlichkeit des Verfahrens. Beim Warnungsentzug hat der Betroffene Anspruch auf eine gerichtliche Überprüfung und auf eine öffentliche Verhandlung (E. 2a). Verletzung dieser Grundsätze im konkreten Fall (E. 2b). Anweisung an den Kanton Tessin, der Beschwerdeführerin eine Gerichtsinstanz zur Verfügung zu stellen, vor welcher die verlangte öffentliche Verhandlung durchgeführt werden kann (E. 2c).</w:t>
      </w:r>
    </w:p>
    <w:p>
      <w:r>
        <w:t>Regeste Art. 6 ch. 1 CEDH, art. 16 al. 2 et 3 LCR, art. 98a OJ; retrait de permis, garantie d'un tribunal indépendant et impartial, publicité des débats. En cas de retrait d'admonestation, l'intéressé a droit à ce que sa cause soit examinée par une autorité judiciaire, lors de débats publics (consid. 2a). Violation de ces principes dans le cas concret (consid. 2b). Injonction faite au canton du Tessin de mettre à disposition de la recourante une autorité judiciaire devant laquelle puissent se dérouler les débats publics exigés (consid. 2c).</w:t>
      </w:r>
    </w:p>
    <w:p>
      <w:r>
        <w:t>Regesto Art. 6 n. 1 CEDU, art. 16 cpv. 2 e 3 LCS, art. 98a OG; revoca della licenza di condurre, garanzia di un tribunale indipendente ed imparziale, pubblicità della procedura. Ove sia pronunciata la revoca della licenza di condurre a scopo di ammonimento, l'interessato ha diritto al controllo giudiziario e ad un'udienza pubblica orale (consid. 2a). Nella fattispecie, violazione di tali principi (consid. 2b). Ingiunzione al Cantone Ticino di mettere a disposizione della ricorrente un tribunale, dinanzi al quale possa essere effettuata l'udienza pubblica richiesta (consid. 2c).</w:t>
      </w:r>
    </w:p>
    <w:p>
      <w:pPr>
        <w:pStyle w:val="Heading2"/>
      </w:pPr>
      <w:r>
        <w:t>Erwägungen</w:t>
      </w:r>
    </w:p>
    <w:p>
      <w:r>
        <w:rPr>
          <w:b/>
        </w:rPr>
        <w:t>E. 1</w:t>
      </w:r>
    </w:p>
    <w:p>
      <w:r>
        <w:t>Con il ricorso di diritto amministrativo può essere fatta valere la violazione del diritto federale, compresi l'eccesso e l'abuso del potere di apprezzamento, nonché, ove l'istanza inferiore non è, come nella fattispecie, un'autorità giudiziaria, l'accertamento inesatto o incompleto BGE 121 II 219 S. 221 di fatti giuridicamente rilevanti (art. 104 lett. a e b, art. 105 cpv. 2 OG ). Per violazione del diritto federale si intende pure la lesione del diritto di rango costituzionale, segnatamente dell' art. 6 CEDU ( DTF 118 Ib 417 consid. 2a).</w:t>
      </w:r>
    </w:p>
    <w:p>
      <w:r>
        <w:rPr>
          <w:b/>
        </w:rPr>
        <w:t>E. 2</w:t>
      </w:r>
    </w:p>
    <w:p>
      <w:r>
        <w:t>La ricorrente fa valere - da ultimo, ma la censura va trattata preliminarmente - che, in violazione dell' art. 6 n. 1 CEDU , le è stato negato il diritto ad una pubblica udienza dinanzi ad un tribunale indipendente ed imparziale. a) Giusta l' art. 6 n. 1 CEDU , ogni persona ha diritto ad una pubblica udienza davanti a un tribunale indipendente e imparziale, al fine della determinazione sia dei suoi diritti e dei suoi doveri di carattere civile, sia della fondatezza di ogni accusa penale che gli venga rivolta. L' art. 6 n. 1 CEDU prevede eccezioni al principio della pubblicità nell'interesse della morale, dell'ordine pubblico o della sicurezza nazionale, o quando lo esigono gli interessi dei minori o la tutela della vita privata delle parti nel processo, oppure quando la pubblicità potrebbe pregiudicare gli interessi della giustizia. Secondo la giurisprudenza del Tribunale federale, la censura concernente la violazione dell' art. 6 n. 1 CEDU dev'essere sollevata nell'ambito del procedimento cantonale, segnatamente dinanzi all'autorità cantonale di ultima istanza ( DTF 120 Ia 19 consid. 2c). La revoca a scopo d'ammonimento della licenza di condurre è una decisione sulla fondatezza di un'accusa penale ai sensi dell' art. 6 n. 1 CEDU ; la persona interessata da un simile provvedimento ha quindi diritto alle garanzie discendenti da tale articolo, segnatamente ad una pubblica udienza dinanzi a un tribunale indipendente ed imparziale ( DTF 121 II 22 consid. 3c e 4). b) Nella fattispecie, la revoca della licenza di condurre è stata pronunciata, in prima istanza, dal Dipartimento delle istituzioni del Cantone Ticino, e per esso dalla Sezione cantonale della circolazione del Cantone Ticino. Quale autorità di ricorso ha giudicato il Consiglio di Stato del Cantone Ticino. Né il Dipartimento delle istituzioni, né il Consiglio di Stato del Cantone Ticino costituiscono tribunali indipendenti ed imparziali ai sensi dell' art. 6 n. 1 CEDU (v. DTF 120 Ia 19 consid. 4a; DTF 119 Ia 88 consid. 5a). In entrambe le occasioni non vi è stata alcuna udienza pubblica. La ricorrente ha esplicitamente censurato, dinanzi all'ultima istanza cantonale, l'assenza di una pubblica udienza davanti ad un tribunale indipendente ed imparziale. Essa non ha quindi rinunciato ai diritti che le sono garantiti dall' art. 6 n. 1 CEDU . Non sussistono d'altronde motivi tali da giustificare la rinuncia allo svolgimento di un BGE 121 II 219 S. 222 pubblico dibattimento. Una procedura in sede cantonale dinanzi a un tribunale indipendente è la sola che consenta di controllare giudiziariamente se la durata della revoca della licenza di condurre ordinata dall'autorità amministrativa sia adeguata ( DTF 115 Ia 406 consid. 3b/bb). Questo compito non incombe al Tribunale federale, cui spetta al proposito soltanto sindacare un eventuale eccesso o abuso di potere da parte dell'autorità giudiziaria cantonale. È quindi ravvisabile nel caso concreto la violazione dell' art. 6 n. 1 CEDU , sia per quanto riguarda l'esigenza di un tribunale indipendente ed imparziale sia per ciò che concerne la richiesta di una pubblica udienza. Ne discende che la censura sollevata, rivelatasi fondata, va accolta e la decisione impugnata annullata. c) Con osservazioni del 7 giugno 1995, il Consiglio di Stato del Cantone Ticino sottolinea, a proposito delle censure concernenti la violazione dell' art. 6 n. 1 CEDU , che è stato istituito un gruppo di lavoro con il compito di elaborare gli adeguamenti legislativi necessari per l'attuazione delle esigenze poste da tale norma, nonché dal (nuovo) art. 98a OG . Ciò non è sufficiente per ovviare alle attuali mancanze dell'organizzazione giudiziaria cantonale. Se è vero che i Cantoni dispongono di un periodo di cinque anni, a far tempo dal 15 febbraio 1992, per emanare le disposizioni esecutive disciplinanti la competenza, l'organizzazione e la procedura delle ultime istanze cantonali secondo l' art. 98a OG (n. 1 cpv. 1 delle disposizioni finali della modificazione del 4 ottobre 1991), è altresì vero ch'essi possono, se necessario, emanare tali disposizioni provvisoriamente in forma di atti legislativi non sottoposti a referendum (n. 1 cpv. 2 disp. fin. della medesima modificazione). La giurisprudenza del Tribunale federale prevede d'altronde che i Cantoni sono tenuti ad assicurare la protezione giuridica garantita dall' art. 6 n. 1 CEDU anche nei casi ove la legislazione cantonale vigente non lo prevede. In simili circostanze, i Cantoni devono garantire tale protezione direttamente in base all' art. 6 n. 1 CEDU , mediante un'interpretazione conforme delle disposizioni in vigore, l'emanazione di un regolamento transitorio o la designazione del tribunale competente nel caso concreto ( DTF 120 Ia 19 consid. 2c bb; DTF 118 Ia 331 consid. 3b). L'instaurazione di una procedura conforme ai dettami dell' art. 6 n. 1 CEDU già a livello cantonale permette di evitare eccessivi ritardi, contrari al principio convenzionale della celerità, nonché la necessità di invocare, a salvaguardia dei propri diritti, il Tribunale federale, ciò che sarebbe incompatibile con il principio dell'economia processuale ( DTF 120 Ia 19 consid. 2c/bb). Alla luce delle precedenti considerazioni, le BGE 121 II 219 S. 223 autorità cantonali del Cantone Ticino sono quindi invitate a mettere a disposizione della ricorrente un'istanza giudiziaria ai sensi dell' art. 6 n. 1 CEDU , dinanzi alla quale potrà pure essere effettuata l'udienza pubblica richiesta.</w:t>
      </w:r>
    </w:p>
    <w:p>
      <w:r>
        <w:rPr>
          <w:b/>
        </w:rPr>
        <w:t>E. 3</w:t>
      </w:r>
    </w:p>
    <w:p>
      <w:r>
        <w:t>("Spese")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