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161</w:t>
      </w:r>
    </w:p>
    <w:p>
      <w:r>
        <w:t>Bundesgericht (BGE), 1995-01-01, FR</w:t>
      </w:r>
    </w:p>
    <w:p>
      <w:r>
        <w:rPr>
          <w:b/>
        </w:rPr>
        <w:t xml:space="preserve">Quelle: </w:t>
      </w:r>
      <w:r>
        <w:t>https://mcp.opencaselaw.ch/entscheid/bge_BGE_121_II_161</w:t>
      </w:r>
    </w:p>
    <w:p>
      <w:r>
        <w:t>FR: ATF 121 II 161</w:t>
      </w:r>
    </w:p>
    <w:p>
      <w:r>
        <w:t>IT: DTF 121 II 161</w:t>
      </w:r>
    </w:p>
    <w:p>
      <w:pPr>
        <w:pStyle w:val="Heading2"/>
      </w:pPr>
      <w:r>
        <w:t>Regeste</w:t>
      </w:r>
    </w:p>
    <w:p>
      <w:r>
        <w:t>Regeste Schutz einer Hecke, Verwaltungsgerichtsbeschwerde; Art. 18 Abs. 1 und 1bis NHG. Begriff des Biotops nach Bundesrecht; Verpflichtung zum Schutz von Biotopen von regionaler und lokaler Bedeutung (E. 2b/bb). Zulässigkeit der Verwaltungsgerichtsbeschwerde gegen einen kantonalen Entscheid, der sich auf kantonale Vorschriften zum Schutz von Biotopen stützt (E. 2b/aa und 2b/cc).</w:t>
      </w:r>
    </w:p>
    <w:p>
      <w:r>
        <w:t>Regeste Protection d'une haie, recours de droit administratif; art. 18 al. 1 et 1bis LPN. Notion de biotope selon le droit fédéral; obligation de protéger les biotopes d'importance régionale et locale (consid. 2b/bb). Recevabilité du recours de droit administratif contre une décision fondée sur des normes cantonales relatives à la protection des biotopes (consid. 2b/aa et 2b/cc).</w:t>
      </w:r>
    </w:p>
    <w:p>
      <w:r>
        <w:t>Regesto Protezione di una siepe, ricorso di diritto amministrativo; art. 18 cpv. 1 e 1bis LPN. Nozione di biotopo secondo il diritto federale; obbligo di proteggere i biotopi d'importanza regionale e locale (consid. 2b/bb). Ammissibilità del ricorso di diritto amministrativo contro una decisione fondata su norme cantonali relative alla protezione di biotopi (consid. 2b/aa e 2b/cc).</w:t>
      </w:r>
    </w:p>
    <w:p>
      <w:pPr>
        <w:pStyle w:val="Heading2"/>
      </w:pPr>
      <w:r>
        <w:t>Erwägungen</w:t>
      </w:r>
    </w:p>
    <w:p>
      <w:r>
        <w:rPr>
          <w:b/>
        </w:rPr>
        <w:t>E. 2</w:t>
      </w:r>
    </w:p>
    <w:p>
      <w:r>
        <w:t>a)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 art. 97 al. 1, 98 let . g et 104 let. a OJ; ATF 120 Ib 27 consid. 2a, 224 consid. 2a, 287 consid. 3a et les arrêts cités). Il importe peu à ce propos que l'acte de recours soit, le cas échéant, intitulé "recours de droit public" ( ATF 120 Ib 287 consid. 3d, 379 consid. 1a). b) Selon l'arrêt attaqué, les "haies vives", en tant que biotopes, sont protégées en vertu des art. 21 ss de la loi cantonale sur la faune. Le Tribunal administratif a ensuite retenu que si la haie située sur la parcelle litigieuse devait être considérée comme "haie vive" au sens de ces dispositions, une autorisation cantonale spéciale serait requise pour l'atteinte provoquée par l'aménagement de la voie d'accès; à ce stade, il a néanmoins laissé cette question indécise. aa) La loi cantonale sur la faune, du 28 février 1989, règle à son chapitre III la conservation des biotopes. Aux termes de l'art. 21 al. 1 de cette loi (note marginale: "biotopes"), "le Conseil d'Etat prend toutes mesures nécessaires pour maintenir les biotopes propres aux diverses espèces indigènes, notamment par la conservation d'un nombre suffisant de haies vives, boqueteaux, buissons, rideaux de verdure, clairières, zones BGE 121 II 161 S. 163 marécageuses et roselières". Quant à l'art. 22 de la loi sur la faune, il dispose que "toute atteinte à un milieu qui risque de porter préjudice à la faune locale doit faire l'objet d'une autorisation de la Conservation de la faune qui fixe dans chaque cas les mesures conservatoires à prendre". Le Conseil d'Etat a adopté le 11 juin 1993 un règlement d'exécution de la loi sur la faune; son art. 6 a la teneur suivante: "1 L'autorisation prévue à l'article 22 de la loi est nécessaire, notamment, pour toute modification, réduction importante ou suppression d'un des milieux mentionnés à l'art. 21 de la loi ainsi que pour toute atteinte à des prés maigres ou humides. 2-3 (...)</w:t>
      </w:r>
    </w:p>
    <w:p>
      <w:r>
        <w:rPr>
          <w:b/>
        </w:rPr>
        <w:t>E. 4</w:t>
      </w:r>
    </w:p>
    <w:p>
      <w:r>
        <w:t>Les dispositions de la législation sur la protection de la nature sont applicables de surcroît." bb) En vertu de l' art. 24sexies al. 4 Cst. , la Confédération est autorisée à légiférer sur la protection de la faune et de la flore, soit, en particulier, sur la protection des biotopes (cf. THOMAS FLEINER-GERSTER, Commentaire de la Constitution fédérale, art. 24sexies, n. 33 ss). L'art. 18 al. 1 de la loi fédérale sur la protection de la nature et du paysage (LPN; RS 451) dispose que "la disparition d'espèces animales et végétales indigènes doit être prévenue par le maintien d'un espace vital suffisamment étendu (biotopes), ainsi que par d'autres mesures appropriées". L' art. 18 al. 1bis LPN énumère les biotopes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Le droit fédéral ne définit pas plus précisément la notion de biotope. Les exigences de l' art. 18 LPN ne s'appliquent cependant pas à tout milieu biotique offrant à un peuplement animal et végétal bien déterminé des conditions d'habitat relativement stables (selon la définition du Grand Robert de la langue française, rubrique "biotope"); le concept de biotope auquel se réfère la législation fédérale sur la protection de la nature et du paysage se rapporte en effet à un "espace vital suffisamment étendu", exerçant une certaine fonction (cf. ATF 116 Ib 203 consid. 4b). L' art. 18 al. 1ter LPN prévoit du reste que seules les atteintes aux "biotopes dignes de protection" doivent en principe être évitées (néanmoins, des mesures de compensation, de reconstitution ou de remplacement peuvent, le cas échéant, BGE 121 II 161 S. 164 être ordonnées lorsque l'atteinte est justifiée par un intérêt prépondérant). La législation fédérale contient des prescriptions spéciales pour les biotopes d'importance nationale (cf. art. 18a LPN , art. 16 et 17 de l'ordonnance sur la protection de la nature et du paysage [OPN; RS 451.1]); ces dispositions ne sont manifestement pas applicables en l'espèce. Les cantons doivent cependant aussi veiller à la protection et à l'entretien des biotopes d'importance régionale et locale ( art. 18b LPN ). Il leur appartient, à cet effet, de désigner les "espaces vitaux suffisamment étendus" dignes de protection (cf. art. 14 al. 3 et 4 OPN ), et ils disposent pour cette tâche d'une importante marge d'appréciation, car le droit fédéral ne prévoit pas - comme il le fait notamment pour les forêts - la protection de l'ensemble des biotopes ( ATF 118 Ib 485 consid. 3a, ATF 116 Ib 203 consid. 4b et 5g). Dans son principe, l'obligation de protéger les biotopes d'importance régionale et locale découle néanmoins directement et impérativement du droit fédéral (cf. ATF 116 Ib 203 consid. 3a et 5d). Cela étant, le droit fédéral n'exige pas des cantons qu'ils organisent une procédure d'autorisation spéciale - telle l'autorisation de défricher, au sens de l'art. 5 de la loi fédérale sur les forêts (LFo; RS 921.0) - lorsque la réalisation d'une construction ou d'une installation pourrait porter atteinte à un biotope protégé; la pesée des intérêts prévue à l' art. 18 al. 1ter LPN peut s'effectuer dans le cadre de la procédure d'autorisation ordinaire (cf. HANS-PETER JENNI, Rechtsfragen zum Schutzobjekt Biotope und insbesondere Ufervegetation gemäss NHG und angrenzenden Gesetzen, OFEFP Berne 1990, p. 12; cf. arrêt non publié du 4 octobre 1993, commune de L., consid. 7). cc) Les dispositions de la législation cantonale sur la faune relatives à la conservation des biotopes (cf. supra, consid. 2b/aa) sont, partiellement à tout le moins, des normes d'exécution des art. 18 ss LPN . L'énumération des biotopes figurant à l'art. 21 al. 1 de la loi sur la faune correspond du reste à celle de l' art. 18 al. 1bis LPN ; en particulier, ces deux dispositions mentionnent les haies (la loi vaudoise parle de "haies vives", formées d'arbustes en pleine végétation, par opposition aux haies mortes, faites de branches sèches). Dans l'arrêt attaqué, le Tribunal administratif s'est référé à son jugement du 10 septembre 1993, par lequel il avait annulé un permis de construire accordé aux propriétaires intimés. Selon ce dernier jugement, la suppression d'une partie de la haie sise sur la parcelle no 3435 nécessiterait une autorisation municipale et, éventuellement, une BGE 121 II 161 S. 165 autorisation de la section "conservation de la faune" en application de l'art. 6 du règlement cantonal sur la faune, pour autant qu'une telle décision soit exigée au regard de la nature, de la longueur et de la surface du milieu touché (consid. 4b de l'arrêt du 10 septembre 1993). Dans l'arrêt faisant l'objet du présent recours, le Tribunal administratif a considéré que même si la municipalité n'avait pas soumis le nouveau projet à l'examen de la section "conservation de la faune", en vue de la qualification de la haie et d'une éventuelle décision au sujet de son abattage, cet élément n'était pas déterminant, car l'autorisation spéciale, pour autant qu'elle fût nécessaire, aurait très certainement été délivrée (consid. 3b de l'arrêt attaqué). Pour ce qui concerne cette question, la décision attaquée est en partie fondée sur des normes cantonales d'exécution du droit fédéral directement applicable (cf. supra, consid. 2b/bb; cf. arrêt non publié du 4 octobre 1993, commune de L., consid. 2d); la voie du recours de droit administratif est donc ouverte,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