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116</w:t>
      </w:r>
    </w:p>
    <w:p>
      <w:r>
        <w:t>Bundesgericht (BGE), 1995-01-01, DE</w:t>
      </w:r>
    </w:p>
    <w:p>
      <w:r>
        <w:rPr>
          <w:b/>
        </w:rPr>
        <w:t xml:space="preserve">Quelle: </w:t>
      </w:r>
      <w:r>
        <w:t>https://mcp.opencaselaw.ch/entscheid/bge_BGE_121_II_116</w:t>
      </w:r>
    </w:p>
    <w:p>
      <w:r>
        <w:t>FR: ATF 121 II 116</w:t>
      </w:r>
    </w:p>
    <w:p>
      <w:r>
        <w:t>IT: DTF 121 II 116</w:t>
      </w:r>
    </w:p>
    <w:p>
      <w:pPr>
        <w:pStyle w:val="Heading2"/>
      </w:pPr>
      <w:r>
        <w:t>Regeste</w:t>
      </w:r>
    </w:p>
    <w:p>
      <w:r>
        <w:t>Regeste Art. 15 OHG. Anspruch des Opfers auf Vorschuss. Rechtsweg. Zulässigkeit der Verwaltungsgerichtsbeschwerde. Nichtwiedergutzumachender Nachteil eines Zwischenentscheides, mit dem die Vorschussleistung verweigert wurde (E. 1). Summarische Prüfung eines Gesuchs um Vorschuss nach Art. 15 OHG durch die kantonalen Behörden (E. 2a).</w:t>
      </w:r>
    </w:p>
    <w:p>
      <w:r>
        <w:t>Regeste Art. 15 LAVI. Droit de la victime à une provision. Procédure. Recevabilité du recours de droit administratif. Préjudice irréparable causé par une décision incidente refusant d'accorder la provision (consid. 1). Examen sommaire d'une demande de provision selon l'art. 15 LAVI par les autorités cantonales (consid. 2a).</w:t>
      </w:r>
    </w:p>
    <w:p>
      <w:r>
        <w:t>Regesto Art. 15 LAV. Diritto della vittima a un acconto. Rimedi di diritto. Ammissibilità del ricorso di diritto amministrativo. Danno irreparabile provocato da una decisione incidentale con la quale è stata negata la concessione di un acconto (consid. 1). Esame sommario di una domanda di acconto secondo l'art. 15 LAV da parte delle autorità cantonali (consid. 2a).</w:t>
      </w:r>
    </w:p>
    <w:p>
      <w:pPr>
        <w:pStyle w:val="Heading2"/>
      </w:pPr>
      <w:r>
        <w:t>Erwägungen</w:t>
      </w:r>
    </w:p>
    <w:p>
      <w:r>
        <w:rPr>
          <w:b/>
        </w:rPr>
        <w:t>E. 1</w:t>
      </w:r>
    </w:p>
    <w:p>
      <w:r>
        <w:t>a) Gemäss Art. 64ter BV haben der Bund und die Kantone dafür zu sorgen, dass die Opfer von Straftaten gegen Leib und Leben Hilfe erhalten. Dazu gehört eine angemessene Entschädigung, wenn das Opfer wegen der Straftat in wirtschaftliche Schwierigkeiten gerät. Der vierte Abschnitt des OHG konkretisiert diese Ansprüche. Nach Art. 11 ff. OHG erhält das Opfer (vgl. zum Opferbegriff Art. 2 OHG ; BGE 120 Ia 157 E. 2d S. 162, BGE 120 IV 44 E. 2 S. 49) unter gewissen Voraussetzungen eine Entschädigung oder Genugtuung vom BGE 121 II 116 S. 118 Staat. Diese staatlichen Leistungen sind subsidiär im Verhältnis zu Ansprüchen des Opfers gegenüber Dritten. Aufgrund einer summarischen Prüfung des Entschädigungsgesuches wird ein Vorschuss gewährt, wenn das Opfer sofortige finanzielle Hilfe benötigt oder wenn die Folgen der Straftat kurzfristig nicht mit hinreichender Sicherheit festzustellen sind ( Art. 15 lit. a und b OHG ). Die Kantone haben zur Geltendmachung solcher Entschädigungs- und Genugtuungsleistungen ein einfaches, rasches und kostenloses Verfahren vorzusehen und den Sachverhalt von Amtes wegen festzustellen ( Art. 16 Abs. 1 und 2 OHG ). Entschädigung und Genugtuung gemäss OHG sind nach dem Gesagten Leistungen, die dem Bundesverwaltungsrecht zugeordnet werden müssen. Über sie wird im Rahmen einer Verfügung nach Art. 5 VwVG (SR 172.021) entschieden. b) In bezug auf den Rechtsschutz schreibt das OHG den Kantonen eine einzige, von der Verwaltung unabhängige Beschwerdeinstanz vor, welcher freie Überprüfungsbefugnis zukommen muss ( Art. 17 OHG ). Über den bundesrechtlichen Rechtsschutz sagt das OHG nichts. Es gelten daher die Regeln des OG. Die Verwaltungsgerichtsbeschwerde ist gemäss Art. 97 OG in Verbindung mit Art. 5 VwVG zulässig gegen Verfügungen, die sich auf öffentliches Recht des Bundes stützen, sofern diese von den in Art. 98 OG genannten Vorinstanzen erlassen worden sind und keiner der in Art. 99 ff. OG oder in der Spezialgesetzgebung vorgesehenen Ausschlussgründe vorliegt. aa) Das Appellationsgericht des Kantons Basel-Stadt hat letztinstanzlich im Sinne von Art. 98 lit. g OG entschieden. bb) Als Ausschlussgrund für eine Verwaltungsgerichtsbeschwerde fällt hier zunächst Art. 99 lit. h OG in Betracht. Da indessen Art. 12 OHG einen Rechtsanspruch auf eine Entschädigung vorsieht, vermag Art. 99 lit. h OG nicht zu greifen. Für den Vorschuss auf die Entschädigung ( Art. 15 OHG ) gilt gleiches. cc) Die Vorinstanz hat ihren Entscheid als Zwischenentscheid überschrieben. Die Beschwerdeführerin ist dagegen der Meinung, es liege ein sogenannter Teilentscheid vor, der in gleicher Weise wie ein Endentscheid angefochten werden könne (vgl. BGE 120 Ib 97 E. 1b S. 99, mit Hinweisen). Das Gesuch um Vorschuss nach Art. 15 OHG hängt mit dem Gesuch um Entschädigung ( Art. 11 ff. OHG ) zusammen. Jenes nimmt sich zu diesem als vorläufige Massnahme aus. Der Vorschuss soll eine sofortige Hilfe gewähren BGE 121 II 116 S. 119 und die Wartezeit bis zum endgültigen Entscheid über das Entschädigungsgesuch überbrücken. Er nimmt in diesem Sinne nicht die Antwort für einen einzelnen Aspekt des Entschädigungsentscheides voraus, wie das für einen Teilentscheid zuträfe. Entfällt die Entschädigung oder zeigt sich später, dass diese geringer ausfällt als der gewährte Vorschuss, so muss dieser bzw. die Differenz zurückerstattet werden (vgl. Art. 5 der Verordnung des Bundesrates vom 18. November 1992 über die Hilfe an Opfer von Straftaten (OHV; SR 312.51) sowie die Botschaft des Bundesrates zum Opferhilfegesetz, BBl 1990 II 992). Solche vorsorgliche Massnahmen sind als Zwischenentscheide selbständig mit Verwaltungsgerichtsbeschwerde anfechtbar, sofern auch in der Hauptsache dieses Rechtsmittel gegeben ist, und sie einen nicht wiedergutzumachenden Nachteil bewirken können (a contrario Art. 101 lit. a OG in Verbindung mit Art. 45 Abs. 1 VwVG ). Beide Voraussetzungen sind hier erfüllt. Gegen Entscheide über die Entschädigung gemäss Art. 11 ff. OHG steht die Verwaltungsgerichtsbeschwerde offen (vgl. E. 1b/aa und bb hiervor). Den nicht wiedergutzumachenden Nachteil eines für den Gesuchsteller negativen Entscheides über den Vorschuss verneinen, hiesse den eben umschriebenen Sinn und Zweck dieses Instituts verkennen. dd) Zwischenentscheide müssen innert zehn Tagen angefochten werden ( Art. 106 Abs. 1 OG ). Diese Frist ist hier eingehalten worden. c) Die Beschwerdeführerin ist mit ihrem Gesuch um einen Vorschuss gemäss Art. 15 OHG nicht durchgedrungen. Sie ist daher zur Verwaltungsgerichtsbeschwerde befugt ( Art. 103 lit. a OG ). Auch die übrigen Sachurteilsvoraussetzungen ( Art. 108 OG ) sind erfüllt. Auf die Verwaltungsgerichtsbeschwerde ist demnach einzutreten.</w:t>
      </w:r>
    </w:p>
    <w:p>
      <w:r>
        <w:rPr>
          <w:b/>
        </w:rPr>
        <w:t>E. 2</w:t>
      </w:r>
    </w:p>
    <w:p>
      <w:r>
        <w:t>Die Vorinstanz hat erwogen, es gehe nicht an, die Antwort auf die Frage nach der Berechtigung einer Entschädigung gemäss Art. 11 ff. OHG im Entscheid betreffend die Vorschussleistung vorwegzunehmen. Im vorliegenden Fall erwiesen sich die Abklärungen über die grundsätzliche Anspruchsberechtigung der Beschwerdeführerin als äusserst schwierig. Es sei denn auch ein ärztliches Gutachten in Auftrag gegeben worden. Bevor dieses Gutachten vorliege, erlaube eine bloss summarische Prüfung des Gesuchs keine Beurteilung der grundsätzlichen Anspruchsberechtigung. Deshalb sei das Gesuch um Vorschuss abzuweisen. Die Beschwerdeführerin hält diese Auffassung als mit Art. 15 OHG unvereinbar. BGE 121 II 116 S. 120 a) Wie das EJPD in seiner Beschwerdevernehmlassung zutreffend ausführt, regelt Art. 15 OHG zweierlei: Zum einen umschreibt er in den lit. a und b die (materiellen) alternativen Voraussetzungen, bei deren Vorliegen ein Anspruch auf Vorschuss besteht. Zum andern trägt der Einleitungssatz von Art. 15 OHG der Behörde in verfahrensrechtlicher Hinsicht auf, das Entschädigungsgesuch - und nicht etwa das Gesuch um Vorschuss - summarisch auf seine Begründetheit zu prüfen. Dazu gehört zunächst die Abklärung, ob das Gesuch rechtzeitig innert zwei Jahren nach der Straftat eingereicht worden ist ( Art. 16 Abs. 3 OHG ). Weiter hat sich diese summarische Prüfung des Entschädigungsgesuchs im Hinblick auf eine Vorschussgewährung mit den Anspruchsvoraussetzungen gemäss Art. 12 OHG (Opfer, Schaden, besondere wirtschaftliche Verhältnisse) auseinanderzusetzen. Summarische Prüfung heisst in diesem Zusammenhang folgendes: Geht bereits aus dem Entschädigungsgesuch hervor, dass die Ansprecherin nicht Opfer im Sinn von Art. 2 OHG ist, oder dass kein durch die fragliche Straftat verursachter Vermögensschaden vorliegt oder dass das voraussichtliche Einkommen über dem Grenzwert liegt, so ist das Entschädigungsgesuch sofort abzuweisen. Das davon abhängige Vorschussgesuch wird in einem solchen Fall ohne weiteres gegenstandslos. Bedürfen hingegen die Fragen der grundsätzlichen Anspruchsvoraussetzung genauerer Abklärung, weil das Gesuch nicht zum vornherein aussichtslos ist, so ist auf das Gesuch um Vorschuss einzutreten. Die Behörde muss alsdann - und zwar nicht bloss summarisch - prüfen, ob eine der beiden alternativen Voraussetzungen gemäss Art. 15 OHG erfüllt ist. Dass Art. 15 OHG in dieser Weise vorläufigen Schutz gewähren will, wurde bereits dargelegt (oben E. 1b/cc). b) Die Vorinstanz hat den Entschädigungsanspruch der Beschwerdeführerin im angefochtenen Entscheid weder bejaht noch verneint. Sie hat vielmehr zu erkennen gegeben, dass sie darüber erst aufgrund eines fachärztlichen Gutachtens befinden könne. Sie ist verfahren, wie wenn die summarische Prüfung des Entschädigungsgesuchs ergeben hätte, dass die Anspruchsvoraussetzungen fehlten. Ob dem so ist, steht aber nicht fest. Vielmehr brachte die Vorinstanz selber zum Ausdruck, dass sie sich darüber nicht im klaren war. Indem die Vorinstanz alsdann ohne jede weitere Prüfung das Vorschussgesuch abgewiesen hat, hat sie nach dem in E. 2a hiervor Gesagten die ihr durch Art. 15 OHG aufgetragenen Prüfungspflichten verletzt. Das führt zur Gutheissung der Beschwerde und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