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w:t>
      </w:r>
    </w:p>
    <w:p>
      <w:r>
        <w:t>Bundesgericht (BGE), 1995-01-01, FR</w:t>
      </w:r>
    </w:p>
    <w:p>
      <w:r>
        <w:rPr>
          <w:b/>
        </w:rPr>
        <w:t xml:space="preserve">Quelle: </w:t>
      </w:r>
      <w:r>
        <w:t>https://mcp.opencaselaw.ch/entscheid/bge_BGE_121_II_1</w:t>
      </w:r>
    </w:p>
    <w:p>
      <w:r>
        <w:t>FR: ATF 121 II 1</w:t>
      </w:r>
    </w:p>
    <w:p>
      <w:r>
        <w:t>IT: DTF 121 II 1</w:t>
      </w:r>
    </w:p>
    <w:p>
      <w:pPr>
        <w:pStyle w:val="Heading2"/>
      </w:pPr>
      <w:r>
        <w:t>Regeste</w:t>
      </w:r>
    </w:p>
    <w:p>
      <w:r>
        <w:t>Regeste Art. 7 Abs. 2 ANAG: Scheinehe. Ist die Ehe offensichtlich nicht in der Absicht eingegangen worden, eine echte eheliche Gemeinschaft zu begründen, so wird dieser Mangel durch das blosse Zusammenleben der Ehegatten nicht geheilt.</w:t>
      </w:r>
    </w:p>
    <w:p>
      <w:r>
        <w:t>Regeste Art. 7 al. 2 LSEE: mariage fictif. Lorsque le mariage n'a manifestement pas été conclu dans le but de fonder une véritable union conjugale, ce vice ne peut être réparé par la simple cohabitation des époux.</w:t>
      </w:r>
    </w:p>
    <w:p>
      <w:r>
        <w:t>Regesto Art. 7 cpv. 2 LDDS: matrimonio fittizio. Se, manifestamente, il matrimonio non è stato celebrato con lo scopo di fondare una vera unione coniugale, tale vizio non può essere sanato con la semplice coabitazione dei coniugi.</w:t>
      </w:r>
    </w:p>
    <w:p>
      <w:pPr>
        <w:pStyle w:val="Heading2"/>
      </w:pPr>
      <w:r>
        <w:t>Erwägungen</w:t>
      </w:r>
    </w:p>
    <w:p>
      <w:r>
        <w:rPr>
          <w:b/>
        </w:rPr>
        <w:t>E. 2</w:t>
      </w:r>
    </w:p>
    <w:p>
      <w:r>
        <w:t>L'art. 7 al. 2 de la loi fédérale sur le séjour et l'établissement des étrangers (LSEE; RS 142.20) prévoit que le conjoint étranger d'un ressortissant suisse n'a pas droit à l'octroi ou à la prolongation de l'autorisation de séjour lorsque le mariage a été contracté dans le but BGE 121 II 1 S. 3 d'éluder les dispositions sur le séjour et l'établissement des étrangers et notamment celles sur la limitation du nombre des étrangers. a) Cette disposition légale s'inspire de l'ancien art. 120 ch. 4 CC concernant les mariages dits de nationalité, qui prévoyait que le mariage était nul lorsque la femme n'entendait pas fonder une communauté conjugale, mais voulait éluder les règles sur la naturalisation.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1991 p. 1034). Dans la mesure où les mariages dits de nationalité n'étaient plus possibles, l'ancien art. 120 ch. 4 CC perdait sa raison d'être et partant a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qui sanctionne les mêmes abus que l'ancien art. 120 ch. 4 CC ( ATF 119 Ib 419 consid. 4a). b) La preuve directe que les époux se sont mariés non pas pour fonder une véritable communauté conjugale, mais seulement dans le but d'éluder les dispositions de la législation sur le séjour et l'établissement des étrangers ne peut, comme en matière de mariages dits de nationalité ( ATF 98 II 1 ss), être aisément apportée;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 ATF 119 Ib 420 consid. 4b; voir aussi ATF 98 II consid. 2c; PETER KOTTUSCH, Scheinehen aus fremdenpolizeilicher Sicht, ZBl 84/1983 p. 432 ss). c) En l'espèce, il est constant que la recourante est arrivée en Suisse au mois de février 1991 et qu'à l'expiration de son visa d'une durée d'un BGE 121 II 1 S. 4 mois, elle a continué à y séjourner et à y travailler sans être au bénéfice d'une autorisation. En proposant à L. de se marier, environ deux mois après l'avoir rencontré, elle pouvait donc régulariser sa situation et, par la même occasion, faire venir en Suisse son enfant, alors âgé de quatre ans et demi, qu'elle avait confié à ses parents. De son côté, le recourant - qui était au chômage et qui, selon ses dires, ignorait la situation illégale de sa femme en Suisse, de même que l'existence de l'enfant en Roumanie - a accepté de se marier de manière précipitée. La question de savoir s'ils ont vécu ensemble deux mois après leur mariage (voire même avant) reste peu claire, dans la mesure où ils ont fait des déclarations contradictoires sur ce point. Elle est toutefois sans pertinence, dans la mesure où rien n'infirme les déclarations de la recourante du 19 avril 1993, selon lesquelles elle n'avait jamais eu de relations intimes avec son mari, ni lui, ni elle n'ayant abordé le sujet, car ils étaient comme "frère et soeur". Au demeurant, il est établi que, deux mois après le mariage, le recourant a dénoncé l'absence du domicile conjugal de son épouse qui s'était réfugiée chez l'ami yougoslave avec lequel elle avait vécu pendant une année et qu'elle avait quitté apparemment au mois de novembre 1992 sans explications. Cette dénonciation du 16 février 1993 ne saurait donc être considérée comme un simple coup de tête à la suite d'une dispute conjugale, alors que le recourant a confirmé ses déclarations et son intention d'entreprendre des démarches en vue de l'annulation du mariage le 5 mars 1993 devant le Contrôle de l'habitant et le 2 avril 1993 devant le police de sûreté et qu'il a encore persisté dans sa version des faits le 19 avril 1993, après avoir été confronté à celle de son épouse. Dans ces conditions, tous les indices concordent pour admettre que les recourants n'ont pas eu l'intention de fonder une véritable union conjugale lorsqu'ils se sont mariés au mois de décembre 1992. La seule question qui se pose est donc de savoir si ce vice a pu être réparé depuis qu'ils ont déclaré vouloir poursuivre la vie commune à la fin du mois d'avril 1993. d) Il ne paraît en effet pas exclu qu'un couple ayant le projet de se marier dans le but d'éluder des dispositions sur le séjour et l'établissement des étrangers, au sens de l' art. 7 al. 2 LSEE , puisse tomber amoureux et décide de créer une véritable union conjugale. Cette circonstance ne doit cependant être admise que restrictivement, lorsqu'il y a des doutes sur le but initial poursuivi par le mariage, mais que les intéressés démontrent, de façon probante, qu'ils ont la volonté de fonder BGE 121 II 1 S. 5 une communauté conjugale et non l'unique intention d'habiter ensemble. A cet égard, le seul fait de vivre à la même adresse ne saurait être considéré comme suffisant, sinon la porte serait ouverte à tous les abus. Or, en l'espèce, il faut bien reconnaître qu'il n'existe pas de doutes sur le vice initial constaté lors du mariage des recourants et qu'aucune circonstance exceptionnelle ne permet de reconnaître une volonté des époux de créer après-coup une véritable union conjugale. Comme on l'a vu, le recourant est certes revenu brusquement sur ses déclarations, deux jours après avoir été confronté à celles de sa femme, mais il n'a fourni aucune explication sur son changement d'attitude et les raisons qu'il invoque dans le présent recours - à savoir que son état persistant de chômeur avait altéré son équilibre psychique et qu'il venait d'échouer dans des négociations pour un emploi - ne sont pas davantage de nature à apporter des éclaircissements sur ce point. Par ailleurs, ni lui, ni son épouse n'ont jamais prétendu avoir des relations intimes ou même rendu vraisemblable qu'ils avaient un projet de vie commune fondé sur d'autres motifs que ceux qui avaient prévalu pour la conclusion du mariage. Dans ces conditions, il n'était pas nécessaire que les autorités cantonales procèdent à des investigations supplémentaires, ainsi que l'exige le Tribunal fédéral lorsqu'il y a doute sur l'existence d'un mariage fictif (arrêt non publié du 8 décembre 1994 en la cause G. c. Conseil d'Etat du canton d'Argovie, p. 10/11). L'éventuelle vie commune des recourants depuis fin avril 1993 ne pouvait en effet influer sur le but poursuivi par leur mariage, tel qu'il a été dûment constaté. e) Il s'ensuit que le Conseil d'Etat n'a pas violé le droit fédéral ( art. 104 lettre a OJ ), ni constaté des faits pertinents de manière inexacte ou incomplète ( art. 104 lettre b OJ ), en retenant que les conditions pour refuser une autorisation de séjour à la recourante sur la base de l' art. 7 al. 2 LSEE étaient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