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390</w:t>
      </w:r>
    </w:p>
    <w:p>
      <w:r>
        <w:t>Bundesgericht (BGE), 1995-01-01, FR</w:t>
      </w:r>
    </w:p>
    <w:p>
      <w:r>
        <w:rPr>
          <w:b/>
        </w:rPr>
        <w:t xml:space="preserve">Quelle: </w:t>
      </w:r>
      <w:r>
        <w:t>https://mcp.opencaselaw.ch/entscheid/bge_BGE_121_III_390</w:t>
      </w:r>
    </w:p>
    <w:p>
      <w:r>
        <w:t>FR: ATF 121 III 390</w:t>
      </w:r>
    </w:p>
    <w:p>
      <w:r>
        <w:t>IT: DTF 121 III 390</w:t>
      </w:r>
    </w:p>
    <w:p>
      <w:pPr>
        <w:pStyle w:val="Heading2"/>
      </w:pPr>
      <w:r>
        <w:t>Regeste</w:t>
      </w:r>
    </w:p>
    <w:p>
      <w:r>
        <w:t>Regeste Art. 79 Abs. 1 OG; auf einen Geldbetrag lautende Rechtsbegehren. Im Rekurs an die Schuldbetreibungs- und Konkurskammer müssen, nicht anders als in der Berufung (Art. 55 Abs. 1 lit. b OG), Rechtsbegehren, die auf einen Geldbetrag lauten, beziffert werden; der Rekurrent kann sich nicht darauf beschränken, das Bundesgericht um Festsetzung des verlangten Betrages zu ersuchen (E. 1).</w:t>
      </w:r>
    </w:p>
    <w:p>
      <w:r>
        <w:t>Regeste Art. 79 al. 1 OJ; conclusions portant sur une somme d'argent. Dans le recours de poursuite, comme dans le recours en réforme (art. 55 al. 1 let. b OJ), les conclusions qui portent sur une somme d'argent doivent être chiffrées et le recourant ne peut se contenter de demander au Tribunal fédéral de fixer le montant réclamé (consid. 1).</w:t>
      </w:r>
    </w:p>
    <w:p>
      <w:r>
        <w:t>Regesto Art. 79 cpv. 1 OG; conclusioni vertenti su una somma di denaro. In un ricorso alla Camera di esecuzione e fallimenti, come in un ricorso per riforma (art. 55 cpv. 1 lett. b OG), le conclusioni vertenti su una somma di denaro devono essere cifrate e il ricorrente non può limitarsi a domandare al Tribunale federale di fissare l'importo richiesto (consid. 1).</w:t>
      </w:r>
    </w:p>
    <w:p>
      <w:pPr>
        <w:pStyle w:val="Heading2"/>
      </w:pPr>
      <w:r>
        <w:t>Erwägungen</w:t>
      </w:r>
    </w:p>
    <w:p>
      <w:r>
        <w:rPr>
          <w:b/>
        </w:rPr>
        <w:t>E. 1</w:t>
      </w:r>
    </w:p>
    <w:p>
      <w:r>
        <w:t>Lorsqu'il est saisi d'un recours de poursuite, le Tribunal fédéral ne se montre généralement guère formaliste en ce qui concerne l'exigence des conclusions et admet la recevabilité d'un recours dont les conclusions sont peu claires, voire font défaut comme telles, mais dans la mesure seulement où ses motifs permettent de déterminer ce qui est demandé (cf. SANDOZ-MONOD, Commentaire de la loi fédérale d'organisation judiciaire, vol. II, Berne 1990, p. 749/750 et la jurisprudence citée). BGE 121 III 390 S. 392 Cependant, en exigeant du recourant qu'il "indique les points sur lesquels une modification de la décision attaquée est demandée", l'art. 79 al. 1 OJ pose, pour le recours de poursuite, une règle très semblable à celle de l'art. 55 al. 1 let. b OJ qui, pour le recours en réforme, prescrit "l'indication exacte des points attaqués de la décision et des modifications demandées". Or, selon la jurisprudence relative à l'art. 55 al. 1 let. b OJ, les conclusions qui portent sur une somme d'argent doivent être chiffrées et le recourant ne peut se contenter de demander au Tribunal fédéral de fixer le montant réclamé (cf. POUDRET, Commentaire de la loi fédérale d'organisation judiciaire, vol. II , Berne 1990, p. 420 n. 1.4.1.2 et la jurisprudence citée; BIRCHMEIER, Bundesrechtspflege, p. 277). Cette jurisprudence doit s'appliquer par analogie à l'art. 79 al. 1 OJ, vu la similitude qui existe entre les deux dispositions et le fait que le recours de poursuite est le pendant du recours en réforme en matière civile (art. 81 OJ; SCYBOZ, Le Tribunal fédéral et la poursuite, in Centenaire de la LP, Zurich 1989, p. 152). Cela étant, le recourant ne saurait se borner à demander, en conclusion à son premier grief, une réduction équitable ("à un montant que Justice dira") de la saisie ordonnée à son préjudice. Le recours est donc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