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III 350</w:t>
      </w:r>
    </w:p>
    <w:p>
      <w:r>
        <w:t>Bundesgericht (BGE), 1995-01-01, FR</w:t>
      </w:r>
    </w:p>
    <w:p>
      <w:r>
        <w:rPr>
          <w:b/>
        </w:rPr>
        <w:t xml:space="preserve">Quelle: </w:t>
      </w:r>
      <w:r>
        <w:t>https://mcp.opencaselaw.ch/entscheid/bge_BGE_121_III_350</w:t>
      </w:r>
    </w:p>
    <w:p>
      <w:r>
        <w:t>FR: ATF 121 III 350</w:t>
      </w:r>
    </w:p>
    <w:p>
      <w:r>
        <w:t>IT: DTF 121 III 350</w:t>
      </w:r>
    </w:p>
    <w:p>
      <w:pPr>
        <w:pStyle w:val="Heading2"/>
      </w:pPr>
      <w:r>
        <w:t>Regeste</w:t>
      </w:r>
    </w:p>
    <w:p>
      <w:r>
        <w:t>Regeste Sportverein - Handeln nach Treu und Glauben (Art. 2 ZGB) - Haftung. Ein Sportverein handelt rechtsmissbräuchlich, wenn er kurz vor Wettkampfbeginn und ohne hinreichenden Grund einem Athleten, der bereits nach den unlängst aufgestellten Selektionskriterien qualifiziert ist, einen zusätzlichen Ausscheidungskampf auferlegt (E. 5). Ein solches Verhalten macht den Sportverein gegenüber dem zunächst selektionierten, dann ausgeschlossenen Sportler schadenersatzpflichtig (E. 6).</w:t>
      </w:r>
    </w:p>
    <w:p>
      <w:r>
        <w:t>Regeste Association sportive - règles de la bonne foi (art. 2 CC) - responsabilité. Adopte un comportement contraire aux règles de la bonne foi l'association sportive qui, peu avant le début d'une compétition et sans raison valable, impose une épreuve de sélection supplémentaire à un athlète déjà qualifié selon les critères posés précédemment (consid. 5). Une telle attitude contradictoire engage la responsabilité de l'association pour le dommage subi par le sportif sélectionné dans un premier temps, puis écarté (consid. 6).</w:t>
      </w:r>
    </w:p>
    <w:p>
      <w:r>
        <w:t>Regesto Associazione sportiva - principio della buona fede (art. 2 CC) - responsabilità. Agisce contrariamente ai canoni della buona fede, l'associazione sportiva che, poco prima di una competizione e senza fondati motivi, impone una prova di qualificazione supplementare ad un atleta già qualificato in virtù dei criteri richiesti in precedenza (consid. 5). Un tale atteggiamento contraddittorio fonda la responsabilità dell'associazione per il danno subito dallo sportivo dapprima selezionato ed in seguito scartato (consid. 6).</w:t>
      </w:r>
    </w:p>
    <w:p>
      <w:pPr>
        <w:pStyle w:val="Heading2"/>
      </w:pPr>
      <w:r>
        <w:t>Erwägungen</w:t>
      </w:r>
    </w:p>
    <w:p>
      <w:r>
        <w:rPr>
          <w:b/>
        </w:rPr>
        <w:t>E. 5</w:t>
      </w:r>
    </w:p>
    <w:p>
      <w:r>
        <w:t>A ce stade, il convient d'examiner de plus près le comportement du bureau présidentiel de la défenderesse dans le cadre de la sélection des lutteurs pour les Championnats du monde 1989. a) Conformément à la procédure de sélection mise en place pour toutes les catégories de lutteurs et vu l'absence de toute mise en garde de la part du comité central, le demandeur était assuré de prendre part aux Championnats du monde à l'issue du tournoi de qualification de Moosseedorf, le 8 juillet 1989, pour autant qu'il participe ensuite au tournoi de Bratislava et au stage d'entraînement d'Ovronnaz. A ce moment-là, sa qualification définitive ne dépendait donc plus que de lui. Or, le 12 août 1989, le comité central a décidé, uniquement pour la catégorie 68 kg, d'organiser un combat décisif entre Küng et le demandeur, le vainqueur étant qualifié pour les Championnats du monde. Ce faisant, il a adopté une attitude contradictoire que rien ne laissait présager. BGE 121 III 350 S. 353 Le revirement du bureau présidentiel apparaît d'autant plus choquant que celui-ci connaissait de longue date le problème d'excès de poids de Küng et qu'il avait précisément interdit à ce lutteur de participer au tournoi de qualification de Moosseedorf dans la catégorie 68 kg. En outre, le comité central ne peut faire valoir aucun juste motif à l'appui de sa volte-face. La raison invoquée - donner une chance de sélection à l'un des meilleurs lutteurs du pays - existait déjà lors du tournoi qualificatif du 8 juillet 1989. Par ailleurs, il n'est allégué nulle part que le demandeur se serait blessé ou aurait connu une baisse de forme importante depuis le tournoi qualificatif. En réalité, le bureau présidentiel a cédé à des pressions, qui se sont faites encore plus insistantes après les joutes de Moosseedorf. b) En modifiant, dans ces circonstances, le mode de sélection dans une seule catégorie de lutteurs à moins de trois semaines des Championnats du monde, le comité central de la défenderesse a-t-il enfreint les règles de la bonne foi ( art. 2 CC )? Selon la jurisprudence, la loi ne protège pas l'attitude contradictoire ("venire contra factum proprium") lorsque le comportement antérieur d'une partie a inspiré chez l'autre partie une confiance légitime qui l'a déterminée à des actes qui se révèlent préjudiciables une fois que la situation a changé ( ATF 116 II 700 consid. 3b p. 702, ATF 115 II 331 consid. 5a p. 338, ATF 110 II 494 consid. 4 p. 498, ATF 106 II 320 consid. 3a). En l'espèce, force est de constater que ces conditions sont remplies. En effet, après le tournoi de Moosseedorf, le demandeur n'avait aucune raison de douter de sa qualification, ce qui l'a amené à prendre des congés non-payés pour se rendre à Bratislava et à Ovronnaz. Sa confiance, digne de protection, a dès lors été trompée lorsque le comité central, pendant le camp de préparation d'Ovronnaz, a décidé du combat de qualification supplémentaire contre Küng. Certes, ce n'est pas la décision d'organiser le duel qui a éliminé le demandeur, mais bien le résultat du match lui-même. Sur ce point, il y a lieu toutefois d'observer que le bureau présidentiel a pris intentionnellement le risque d'évincer un lutteur pourtant déjà qualifié; le risque était d'ailleurs d'autant plus important que, selon les propres dires des représentants de la défenderesse, Küng était d'un niveau supérieur au demandeur.</w:t>
      </w:r>
    </w:p>
    <w:p>
      <w:r>
        <w:rPr>
          <w:b/>
        </w:rPr>
        <w:t>E. 6</w:t>
      </w:r>
    </w:p>
    <w:p>
      <w:r>
        <w:t>Organisée sous forme d'association, la défenderesse a la personnalité juridique ( art. 60 al. 1 CC ). Le comité central est habilité à la représenter ( art. 69 CC ). La défenderesse est par conséquent liée par les actes du bureau présidentiel. En l'occurrence, ce dernier a agi de manière BGE 121 III 350 S. 354 contraire aux règles de la bonne foi à l'égard du demandeur, membre du club de lutte bernois TV Länggasse, qui réclame réparation du dommage subi de ce fait. La responsabilité de la défenderesse est-elle engagée pour autant? En d'autres termes, y a-t-il un fondement juridique à la prétention en dommages-intérêts exercée par le demandeur? a) Faute d'un quelconque contrat liant les parties, une responsabilité contractuelle de la défenderesse n'entre pas en considération en l'espèce. b) Il convient de se demander en revanche si la responsabilité de la défenderesse n'est pas engagée sur la base de l' art. 41 CO . La jurisprudence qualifie d'illicite l'acte, voire l'omission, objectivement contraire à des ordres ou à des interdictions du droit écrit ou non écrit ( ATF 120 II 331 consid. 4 et les arrêts cités). Selon une thèse défendue en particulier par KELLER, un comportement préjudiciable contraire aux règles de la bonne foi peut être illicite s'il existe un rapport particulier de confiance entre le lésé et le responsable (KELLER/GABI, Das Schweizerische Schuldrecht, tome II, 2e éd., p. 39 ss; KELLER, Ist eine Treu und Glauben verletzende Schädigung widerrechtlich? in recht 1987, p. 136 ss; cf. également REY, Rechtliche Sonderverbindungen und Rechtsfortbildung, in Festschrift Keller, 1989, p. 231 ss). Dans un arrêt publié aux ATF 108 II 305 , le Tribunal fédéral a toutefois refusé, sauf cas tout à fait exceptionnels, de considérer l' art. 2 CC comme une norme de protection fondamentale dont la violation est propre à entraîner une responsabilité basée sur l' art. 41 CO ; l' art. 2 CC ne fonde en effet pas une obligation indépendante, mais s'applique en rapport avec des droits et obligations déjà existants (consid. 2b p. 311). c) Cela étant, il se dégage néanmoins de la jurisprudence des cas mettant en cause des relations de confiance dans lesquels le Tribunal fédéral reconnaît un chef de responsabilité, sans se prononcer nécessairement sur sa nature juridique. Ainsi, la responsabilité découlant d'une "culpa in contrahendo" repose sur l'idée que, pendant les pourparlers contractuels, les parties doivent agir selon les règles de la bonne foi. En effet, l'ouverture des pourparlers crée déjà une relation juridique entre elles et leur impose des devoirs réciproques, comme par exemple de négocier sérieusement conformément à leurs véritables intentions ( ATF 116 II 695 consid. 3 p. 698, ATF 105 II 75 consid. 2a). Le Tribunal fédéral n'a pas tranché la question de savoir si cette responsabilité est de nature délictuelle ou contractuelle ( ATF 108 II 419 consid. 5 p. 422), estimant préférable de rechercher la disposition BGE 121 III 350 S. 355 applicable selon le problème posé (par exemple, l' art. 60 CO pour la prescription: ATF 101 II 266 consid. 4c). De même, celui qui, disposant de connaissances particulières dans un domaine, accepte de fournir des renseignements ou des conseils hors de tout rapport contractuel doit agir de bonne foi ( ATF 111 II 471 consid. 3); commet ainsi un acte illicite engageant sa responsabilité celui qui, intentionnellement ou à la légère, donne des informations inexactes ou passe sous silence des faits dont il doit reconnaître l'importance pour l'autre partie ( ATF 116 II 695 consid. 4, ATF 111 II 471 consid. 3). L'illicéité résulte du fait que le renseignement inexact ou le conseil incorrect a suscité chez l'autre partie une confiance justifiée qui se trouve trompée ultérieurement (arrêt non publié du 13 décembre 1990 dans la cause 4C.211/1989, consid. 4b/cc). Citant la doctrine récente, le Tribunal fédéral a rattaché par la suite, dans un obiter dictum, la responsabilité pour renseignement inexact à la notion de responsabilité fondée sur la confiance ("Vertrauenshaftung") ( ATF 120 II 331 consid. 5a p. 337 et les références). Développée en droit allemand, cette forme juridique consiste à imputer une responsabilité déduite des règles de la bonne foi à celui qui a créé une situation de confiance à laquelle une autre personne peut se fier et s'est du reste fiée en réalité (KRAMER/SCHMIDLIN, Commentaire bernois, n. 150 ad Allgemeine Einleitung in das schweizerische OR; cf. également STAUDINGER/DILCHER, Kommentar zum BGB, 12e éd., n. 44 ss ad Vorbemerkungen ad §§ 116-144). Dans cette optique, la "culpa in contrahendo" constitue un cas particulier de la responsabilité fondée sur la confiance (KRAMER/SCHMIDLIN, op.cit., n. 151 ad Allgemeine Einleitung in das schweizerische OR). Un autre aspect de la responsabilité fondée sur la confiance a été mis en exergue récemment dans la jurisprudence. Le Tribunal fédéral a admis, malgré l'absence d'un fondement contractuel ou délictuel, la responsabilité d'une société mère pour des déclarations publicitaires adressées aux clients de sa filiale, qui mettaient l'accent sur le lien entre les deux sociétés du groupe et cherchaient ainsi à faire bénéficier la filiale de la bonne réputation de la société mère ( ATF 120 II 331 ). Les conditions posées par la jurisprudence pour qu'une telle responsabilité soit engagée sont strictes: il faut que, par son comportement, la société mère ait provoqué, puis déçu de manière contraire à la bonne foi, des attentes déterminées quant à son rôle et à sa responsabilité dans le groupe (même arrêt, BGE 121 III 350 S. 356 consid. 5a p. 336). A l'instar des responsabilités découlant de la "culpa in contrahendo" ou de renseignements inexacts, la responsabilité de la société mère suppose, entre le lésé et le responsable, une relation particulière ("Sonderverbindung"), soit un rapport spécial de confiance et de fidélité (ibid.; cf. REY, op.cit., p. 234 ss; KELLER, op.cit., in recht 1987, p. 137). d) En l'occurrence, le demandeur est membre du club de lutte TV Länggasse, qui fait lui-même partie d'une association régionale (art. 4 let. a et art. 5.2. des statuts FSLA). Pour sa part, la défenderesse est composée des associations régionales, ainsi que de membres honoraires et de membres passifs, qui constituent les seuls membres individuels (art. 4 statuts FSLA). Dans ce système, aucun lien de sociétariat direct n'existe entre les parties. Il n'en demeure pas moins que la défenderesse dispose, en particulier en matière de représentation aux compétitions internationales (art. 2.2. § 3 statuts FSLA), d'une situation de monopole qui s'exerce également à l'égard du demandeur et qui est d'ailleurs la règle en matière sportive (cf. BADDELEY, L'association sportive face au droit, thèse Genève 1994, p. 83; JOLIDON, Ordre sportif et ordre juridique, in RJB/ZBJV 127/1991, p. 232; SCHERRER, Sportrecht - Eine notwendige Sonderdisziplin? in RSJ/SJZ 84/1988, p. 2 et 5). Par ailleurs, même en l'absence de toute affiliation directe, le sportif uniquement membre d'une section a certains droits et obligations vis-à-vis de la fédération, notamment un devoir de fidélité (SATTIVA SPRING, Les fédérations à but idéal en droit suisse, thèse Lausanne 1990, p. 184). En contre-partie, la fédération qui se trouve en position monopolistique doit se voir imposer le respect de certains principes fondamentaux à l'égard des sportifs, et spécialement la fidélité aux actes. Au même titre que dans les cas de responsabilité fondée sur la confiance décrits ci-dessus, le lien particulier qui unit le sportif individuel à sa fédération commande donc que la responsabilité de celle-ci soit engagée lorsqu'elle cause un dommage à l'athlète en agissant de manière contraire aux règles de la bonne foi. En l'espèce, comme déjà relevé, la confiance que le demandeur pouvait légitimement placer dans le respect de la procédure de sélection instituée par la défenderesse elle-même a été trompée de manière crasse par la décision injustifiée d'imposer - un peu moins de trois semaines avant l'ouverture des Championnats du monde, style libre - un duel de qualification supplémentaire dans lequel le demandeur avait tout à perdre. BGE 121 III 350 S. 357 Comme la cour cantonale l'a admis à juste titre, cette attitude contraire aux règles de la bonne foi était propre à engager la responsabilité de la défenderesse pour le dommage causé au demandeur.</w:t>
      </w:r>
    </w:p>
    <w:p>
      <w:r>
        <w:rPr>
          <w:b/>
        </w:rPr>
        <w:t>E. 7</w:t>
      </w:r>
    </w:p>
    <w:p>
      <w:r>
        <w:t>a) S'agissant des autres conditions de la responsabilité, le lien de causalité naturelle est établi puisque la cour cantonale a constaté, d'une part, que Grossen n'aurait pas assumé les dépenses dont il réclame le remboursement s'il avait été conscient des risques qu'il prenait et, d'autre part, que la consultation de l'avocat bernois est intervenue en raison du revirement du comité central. Le dommage se trouve également dans un lien de causalité adéquate avec l'acte reproché à la défenderesse. En effet, il est conforme au cours ordinaire des choses et à l'expérience générale de la vie qu'un lutteur amateur sélectionné prenne des congés non-payés pour participer aux tournoi et stage obligatoires en vue des Championnats du monde, puis cherche à connaître ses droits auprès d'un avocat de sa région de domicile lorsqu'il apprend que sa qualification est remise en cause. b) Par ailleurs, il est vrai que le demandeur a finalement livré le combat litigieux, non sans avoir cherché, en vain, à le faire interdire par le juge. On ne saurait toutefois en déduire qu'il a consenti au dommage; à ce moment-là, s'il voulait participer aux Championnats du monde, le lutteur n'avait d'autre choix que de se plier à la nouvelle exigence du comité central. c) Enfin, la défenderesse se plaint d'une violation de l' art. 41 CO . Elle prétend que le dommage est inexistant, car le demandeur aurait de toute manière participé au tournoi de Bratislava et au camp d'Ovronnaz. Il s'agit là d'une critique qui se fonde sur un fait contredit par les constatations souveraines figurant dans le jugement attaqué. Ce faisant, la défenderesse remet en cause les faits d'une manière inadmissible dans un recours en réforme, ouvert pour violation du droit fédéral ( art. 43, art. 55 al. 1 let . c, art. 63 al. 2 OJ ). Le moyen soulevé a du reste déjà fait l'objet d'un examen dans le recours de droit public connexe. Il n'y a donc pas lieu d'entrer en matière sur ce grief.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