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304</w:t>
      </w:r>
    </w:p>
    <w:p>
      <w:r>
        <w:t>Bundesgericht (BGE), 1995-01-01, DE</w:t>
      </w:r>
    </w:p>
    <w:p>
      <w:r>
        <w:rPr>
          <w:b/>
        </w:rPr>
        <w:t xml:space="preserve">Quelle: </w:t>
      </w:r>
      <w:r>
        <w:t>https://mcp.opencaselaw.ch/entscheid/bge_BGE_121_III_304</w:t>
      </w:r>
    </w:p>
    <w:p>
      <w:r>
        <w:t>FR: ATF 121 III 304</w:t>
      </w:r>
    </w:p>
    <w:p>
      <w:r>
        <w:t>IT: DTF 121 III 304</w:t>
      </w:r>
    </w:p>
    <w:p>
      <w:pPr>
        <w:pStyle w:val="Heading2"/>
      </w:pPr>
      <w:r>
        <w:t>Regeste</w:t>
      </w:r>
    </w:p>
    <w:p>
      <w:r>
        <w:t>Regeste Art. 210 Abs. 1 ZGB; Berücksichtigung von künftigen Grundstückgewinnsteuern bei der güterrechtlichen Auseinandersetzung. Künftige, nur schätzungsweise feststellbare Grundstückgewinnsteuern dürfen bei der güterrechtlichen Auseinandersetzung nur berücksichtigt werden, wenn mit Sicherheit oder hoher Wahrscheinlichkeit feststeht, dass ein im ehelichen Vermögen stehendes Grundstück nach der güterrechtlichen Auseinandersetzung veräussert wird.</w:t>
      </w:r>
    </w:p>
    <w:p>
      <w:r>
        <w:t>Regeste Art. 210 al. 1 CC; prise en considération des impôts sur les gains immobiliers futurs lors de la liquidation du régime matrimonial. Les impôts sur les gains immobiliers futurs, dont le montant n'est fixé qu'approximativement, ne peuvent être pris en considération lors de la liquidation du régime matrimonial que s'il est certain ou très vraisemblable que l'immeuble faisant partie du patrimoine matrimonial sera aliéné après la liquidation du régime matrimonial.</w:t>
      </w:r>
    </w:p>
    <w:p>
      <w:r>
        <w:t>Regesto Art. 210 cpv. 1 CC; Considerazione di una futura imposta sull'utile immobiliare nella liquidazione del regime dei beni matrimoniali. Future imposte sull'utile immobiliare, il cui ammontare può unicamente essere stimato, possono essere considerate nella liquidazione del regime matrimoniale unicamente se è sicuro o almeno molto probabile che il fondo appartenente al patrimonio coniugale sarà alienato dopo la liquidazione del regime matrimoniale.</w:t>
      </w:r>
    </w:p>
    <w:p>
      <w:pPr>
        <w:pStyle w:val="Heading2"/>
      </w:pPr>
      <w:r>
        <w:t>Erwägungen</w:t>
      </w:r>
    </w:p>
    <w:p>
      <w:r>
        <w:rPr>
          <w:b/>
        </w:rPr>
        <w:t>E. 3</w:t>
      </w:r>
    </w:p>
    <w:p>
      <w:r>
        <w:t>b) Der Kläger macht geltend, dass bei der güterrechtlichen Auseinandersetzung die künftigen Grundstückgewinnsteuern hätten berücksichtigt werden müssen. Zur Begründung führt er aus, dass er durch die finanziellen Nebenfolgen der Ehescheidung derart stark belastet werde, dass er nicht mehr in der Lage sei, das von ihm bewohnte Einfamilienhaus zu halten. Die bei der Veräusserung fällig werdenden Grundstückgewinnsteuern von rund Fr. 100'000.-- hätten daher in die Vorschlagsberechnung einbezogen werden müssen. Gemäss Art. 211 ZGB sind die Vermögensgegenstände bei der güterrechtlichen Auseinandersetzung zu ihrem Verkehrswert einzusetzen. Massgebend ist dabei der Nettoverkehrswert, da bei der Vorschlagsberechnung nach Art. 210 Abs. 1 ZGB die auf den zu teilenden Vermögenswerten lastenden Schulden abzuziehen sind. Dies bedeutet, dass bei einer Veräusserung eines Vermögenswertes laufende Gebühren, Abgaben und Steuerlasten in Abzug zu bringen sind (HAUSHEER/REUSSER/GEISER, Berner Kommentar, N. 15 zu Art. 211 ZGB ; SPÜHLER/FREI-MAURER, N. 54 zu Art. 154 ZGB ). Künftige, nur schätzungsweise feststellbare latente Lasten dürfen nach der Rechtsprechung des Bundesgerichtes nur zurückhaltend berücksichtigt werden. So ist bei der Vorschlagsermittlung eine latente Steuerlast nur dann zu berücksichtigen, wenn mit Sicherheit oder hoher Wahrscheinlichkeit feststeht, dass ein Vermögensgegenstand veräussert wird (unveröffentlichtes Urteil vom 27. April 1987 i.S. C. S. c. J. V.; HAUSHERR/REUSSER/GEISER, N. 15 zu Art. 211 ZGB ; SPÜHLER/FREI-MAURER, N. 54 zu Art. 154 ZGB ). Im vorliegenden Fall bestehen keine Anhaltspunkte dafür, dass der Kläger gezwungen sein wird, die von ihm bewohnte Liegenschaft abzustossen. Bei der Zusammenstellung der finanziellen Verhältnisse des Klägers wurden dessen Wohnkosten mit Fr. 2'800.-- pro Monat eingesetzt. Bei einer hypothekarischen Belastung der Liegenschaft mit Fr. 500'000.--, die die güterrechtliche Abfindung an die Beklagte bereits beinhaltet, und einem Hypothekarzinssatz von derzeit 5,5% dürften unter Berücksichtigung der Abgaben und Unterhaltskosten die von der Vorinstanz berechneten monatlichen Wohnkosten BGE 121 III 304 S. 306 zutreffend sein und dem Kläger erlauben, das Haus zu halten. Dass der Kläger angesichts der Erhöhung der Unterhaltsrente an die Beklagte ab Juli 1997 über weniger finanzielle Mittel verfügt, trifft nicht zu. Im Gegenteil dürfte er trotz der um Fr. 700.-- erhöhten Unterhaltspflicht ebenfalls über Fr. 700.-- pro Monat mehr verfügen, da ab diesem Zeitpunkt die Alimente für F. und P. im Gesamtbetrag von monatlich Fr. 1'400.-- entfallen. Vor diesem Hintergrund ist nicht mit Sicherheit oder hoher Wahrscheinlichkeit anzunehmen, dass der Kläger zur Veräusserung der von ihm bewohnten Liegenschaft gezwungen sein wird. Eine Berücksichtigung von allfälligen künftigen Grundstückgewinnsteuern bei der güterrechtlichen Auseinandersetzung kommt daher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