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204</w:t>
      </w:r>
    </w:p>
    <w:p>
      <w:r>
        <w:t>Bundesgericht (BGE), 1995-01-01, DE</w:t>
      </w:r>
    </w:p>
    <w:p>
      <w:r>
        <w:rPr>
          <w:b/>
        </w:rPr>
        <w:t xml:space="preserve">Quelle: </w:t>
      </w:r>
      <w:r>
        <w:t>https://mcp.opencaselaw.ch/entscheid/bge_BGE_121_III_204</w:t>
      </w:r>
    </w:p>
    <w:p>
      <w:r>
        <w:t>FR: ATF 121 III 204</w:t>
      </w:r>
    </w:p>
    <w:p>
      <w:r>
        <w:t>IT: DTF 121 III 204</w:t>
      </w:r>
    </w:p>
    <w:p>
      <w:pPr>
        <w:pStyle w:val="Heading2"/>
      </w:pPr>
      <w:r>
        <w:t>Regeste</w:t>
      </w:r>
    </w:p>
    <w:p>
      <w:r>
        <w:t>Regeste Art. 429a ZGB; Verhältnis der bundesrechtlichen zum kantonalrechtlichen Staatshaftungsbestimmungen im Bereich der fürsorgerischen Freiheitsentziehung. Entscheidet das Bundesgericht als einzige Instanz über eine Zivilklage, haben die Parteien gemäss Art. 6 Abs. 1 EMRK Anspruch auf die Durchführung einer öffentlichen Verhandlung. Durch ausdrückliche Erklärung können sie allerdings darauf verzichten (E. 1). Staatshaftungsansprüche wegen widerrechtlicher fürsorgerischer Freiheitsentziehung beruhen ausschliesslich auf Art. 429a ZGB. Für die Anwendung kantonalen Staatshaftungsrechts bleibt damit kein Raum, auch wenn es im Einzelfall für den Ansprecher günstigere Haftungsbedingungen (z.B. eine längere Verjährungsfrist) vorsieht (E. 2).</w:t>
      </w:r>
    </w:p>
    <w:p>
      <w:r>
        <w:t>Regeste Art. 429a CC; rapport entre les dispositions de droit fédéral et de droit cantonal sur la responsabilité de l'Etat en matière de privation de liberté à des fins d'assistance. Lorsque le Tribunal fédéral statue en instance unique sur une action civile, les parties ont droit, conformément à l'art. 6 al. 1er CEDH, à des débats publics. Elles peuvent toutefois y renoncer par une déclaration expresse (consid. 1). Les prétentions en responsabilité contre l'Etat pour privation illégale de liberté se fondent exclusivement sur l'art. 429a CC. Aussi n'y a-t-il pas place pour l'application de dispositions cantonales sur la responsabilité de l'Etat, quand bien-même l'intéressé bénéficierait, dans un cas donné, d'une réglementation plus favorable (par ex. d'un délai de prescription plus long) (consid. 2).</w:t>
      </w:r>
    </w:p>
    <w:p>
      <w:r>
        <w:t>Regesto Art. 429a CC; rapporto tra le norme federali e quelle cantonali sulla responsabilità dello Stato nell'ambito della privazione della libertà a scopo di assistenza. Se il Tribunale federale decide quale istanza unica su un'azione di diritto civile, le parti hanno diritto, giusta l'art. 6 n. 1 CEDU, a un'udienza pubblica. Nondimeno, esse possono rinunciarvi mediante un'esplicita dichiarazione (consid. 1). Le pretese di risarcimento danni contro lo Stato per illecita privazione della libertà a scopo di assistenza si fondano esclusivamente sull'art. 429a CC. Ne consegue che non vi è spazio per l'applicazione di disposizioni cantonali sulla responsabilità dello Stato, nemmeno se, in una determinata fattispecie, queste prevedono una regolamentazione più favorevole all'interessato (ad esempio un termine di prescrizione più lungo) (consid. 2).</w:t>
      </w:r>
    </w:p>
    <w:p>
      <w:pPr>
        <w:pStyle w:val="Heading2"/>
      </w:pPr>
      <w:r>
        <w:t>Erwägungen</w:t>
      </w:r>
    </w:p>
    <w:p>
      <w:r>
        <w:rPr>
          <w:b/>
        </w:rPr>
        <w:t>E. 1</w:t>
      </w:r>
    </w:p>
    <w:p>
      <w:r>
        <w:t>Das Bundesgericht beurteilt als einzige Instanz zivilrechtliche Streitigkeiten zwischen einem Kanton und Privaten, wenn eine Partei es rechtzeitig verlangt und der Streitwert wenigstens Fr. 8'000.-- beträgt ( Art. 42 Abs. 1 OG ). a) Diese von Amtes wegen zu prüfenden Voraussetzungen ( Art. 3 Abs. 1 BZP ) sind vorliegend erfüllt. Ungeachtet davon, ob der geltend gemachte Haftungsanspruch auf Bundesrecht ( Art. 429a ZGB ) oder kantonalem öffentlichem Recht (§§ 37 ff. Beamtengesetz des Kantons Basel-Stadt) beruht, handelt es sich um einen zivilrechtlichen Anspruch im Sinn des Gesetzes ( BGE 107 Ib 155 E. 1). Sodann hat die Klägerin das Bundesgericht rechtzeitig im Sinn von Art. 42 OG angerufen, d.h. bevor für den gleichen Streitgegenstand die kantonale Gerichtsbarkeit in Anspruch genommen wurde (POUDRET/SANDOZ-MONOD, Commentaire de la loi fédérale d'organisation judiciaire, Band II, N. 2.4 zu Art. 42 OG ). Und schliesslich übersteigt der Streitwert den Betrag von Fr. 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