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w:t>
      </w:r>
    </w:p>
    <w:p>
      <w:r>
        <w:t>Bundesgericht (BGE), 1995-01-01, DE</w:t>
      </w:r>
    </w:p>
    <w:p>
      <w:r>
        <w:rPr>
          <w:b/>
        </w:rPr>
        <w:t xml:space="preserve">Quelle: </w:t>
      </w:r>
      <w:r>
        <w:t>https://mcp.opencaselaw.ch/entscheid/bge_BGE_121_III_18</w:t>
      </w:r>
    </w:p>
    <w:p>
      <w:r>
        <w:t>FR: ATF 121 III 18</w:t>
      </w:r>
    </w:p>
    <w:p>
      <w:r>
        <w:t>IT: DTF 121 III 18</w:t>
      </w:r>
    </w:p>
    <w:p>
      <w:pPr>
        <w:pStyle w:val="Heading2"/>
      </w:pPr>
      <w:r>
        <w:t>Regeste</w:t>
      </w:r>
    </w:p>
    <w:p>
      <w:r>
        <w:t>Regeste Anforderungen an den Zahlungsbefehl (Art. 69 Abs. 2 Ziff. 1 und Art. 67 Abs. 1 Ziff. 4 SchKG). Bezeichnung des Forderungsgrundes: Mit dem Vermerk "Schadenersatz" wird der Forderungsgrund auf dem Zahlungsbefehl nur dann genügend umschrieben, falls dem Betriebenen aus dessen Gesamtzusammenhang klar wird, wofür er belangt wird.</w:t>
      </w:r>
    </w:p>
    <w:p>
      <w:r>
        <w:t>Regeste Exigences relatives au commandement de payer (art. 69 al. 2 ch. 1 et art. 67 al. 1 ch. 4 LP). Désignation de la cause de la créance: L'indication "dommages-intérêts" n'est une désignation suffisante de la cause de la créance dans le commandement de payer que s'il ressort du contexte général de cet acte que le débiteur sait clairement pourquoi il est poursuivi.</w:t>
      </w:r>
    </w:p>
    <w:p>
      <w:r>
        <w:t>Regesto Requisiti di un precetto esecutivo (art. 69 cpv. 2 n. 1 e art. 67 cpv. 1 n. 4 LEF). Enunciazione della causa del credito: Con l'indicazione "risarcimento danni" nel precetto esecutivo viene unicamente descritta in modo sufficiente la causa del credito se il debitore può capire dal contesto generale la ragione per cui viene escusso.</w:t>
      </w:r>
    </w:p>
    <w:p>
      <w:pPr>
        <w:pStyle w:val="Heading2"/>
      </w:pPr>
      <w:r>
        <w:t>Erwägungen</w:t>
      </w:r>
    </w:p>
    <w:p>
      <w:r>
        <w:rPr>
          <w:b/>
        </w:rPr>
        <w:t>E. 2</w:t>
      </w:r>
    </w:p>
    <w:p>
      <w:r>
        <w:t>Nach Ansicht des Rekurrenten genügt der ihm zugestellte Zahlungsbefehl den Anforderungen von Art. 67 Abs. 1 Ziff. 4 SchKG nicht, da er als Forderungsgrund lediglich die Bezeichnung "Schadenersatz" enthalte. a) Mit der Zustellung des Zahlungsbefehls wird der Betriebene aufgefordert, sich zum Zahlungsbegehren des Betreibenden durch Leistung des geforderten Betrages oder durch Erhebung des Rechtsvorschlags zu äussern, andernfalls das Betreibungsverfahren seinen Fortgang nehme (AMONN, Grundriss des Schuldbetreibungs- und Konkursrechts, 5.A. Bern 1993, S. 115 N. 2). Zu diesem Zweck muss der Zahlungsbefehl bestimmte, gesetzlich vorgeschriebene Angaben enthalten ( Art. 69 Abs. 2 SchKG ). Der Forderungsgrund soll dem Betriebenen zusammen mit dem übrigen Inhalt des Zahlungsbefehls über den Anlass der Betreibung Aufschluss geben. Fehlt jeder diesbezügliche Hinweis, so erweist sich der Zahlungsbefehl noch keineswegs als nichtig; hingegen muss er auf Beschwerde aufgehoben werden, sofern für den Betriebenen der Grund der Forderung aus seinem Gesamtzusammenhang nicht erkennbar wird ( BGE 58 III 2 ; GILLIÉRON, Poursuite pour dettes, faillite et concordat, 3.A. Lausanne 1993, S. 131 N. 4). Demzufolge muss jede Umschreibung des BGE 121 III 18 S. 20 Forderungsgrundes genügen, die dem Betriebenen zusammen mit den weitern Angaben auf dem Zahlungsbefehl erlaubt, sich zur Anerkennung des in Betreibung gesetzten Betrages zu entschliessen (FRITZSCHE/WALDER, Schuldbetreibung und Konkurs nach schweizerischem Recht, Band I, Zürich 1984, S. 196 N. 13); er soll nämlich nicht Rechtsvorschlag erheben müssen, um in einem anschliessenden Rechtsöffnungsverfahren oder in einem Forderungsprozess von der gegen ihn geltend gemachten Forderung Kenntnis zu erhalten. Nach Zustellung des Zahlungsbefehls kann der Betriebene vom Betreibungsamt überdies verlangen, dass der Betreibende aufgefordert werde, die Forderungsurkunde im Original oder in beglaubigter Abschrift innerhalb der Bestreitungsfrist beim Amt zur Einsicht aufzulegen ( Art. 73 Abs. 1 SchKG ). Auf diese Weise soll ihm die Prüfung und Beurteilung der gegen ihn in Betreibung gesetzten Forderung erleichtert werden (AMONN, a.a.O., S. 119 N. 18). Der Vermerk "Schadenersatz" auf dem hier interessierenden Zahlungsbefehl erlaubte dem Rekurrenten noch nicht, sich eine Meinung zu bilden, weshalb er nun betrieben wird; welche Forderungsurkunde der Betreibende auf Verlangen des Betriebenen vorzulegen hätte, wird dadurch ebenfalls nicht klar. b) Ist für den Betriebenen der Grund der Forderung aus seinem Gesamtzusammenhang erkennbar, so genügt es nach dem auch im Zwangsvollstreckungsrecht zu beachtenden Grundsatz von Treu und Glauben ( BGE 118 III 27 E. e S. 33), wenn der Forderungsgrund nur knapp umschrieben wird. Dies war indessen vorliegend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