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168</w:t>
      </w:r>
    </w:p>
    <w:p>
      <w:r>
        <w:t>Bundesgericht (BGE), 1995-01-01, DE</w:t>
      </w:r>
    </w:p>
    <w:p>
      <w:r>
        <w:rPr>
          <w:b/>
        </w:rPr>
        <w:t xml:space="preserve">Quelle: </w:t>
      </w:r>
      <w:r>
        <w:t>https://mcp.opencaselaw.ch/entscheid/bge_BGE_121_III_168</w:t>
      </w:r>
    </w:p>
    <w:p>
      <w:r>
        <w:t>FR: ATF 121 III 168</w:t>
      </w:r>
    </w:p>
    <w:p>
      <w:r>
        <w:t>IT: DTF 121 III 168</w:t>
      </w:r>
    </w:p>
    <w:p>
      <w:pPr>
        <w:pStyle w:val="Heading2"/>
      </w:pPr>
      <w:r>
        <w:t>Regeste</w:t>
      </w:r>
    </w:p>
    <w:p>
      <w:r>
        <w:t>Regeste Gesamtarbeitsvertrag; Aktivlegitimation eines Berufsverbandes (Art. 356 OR; Art. 28 ZGB; Art. 9 und 10 UWG). Legitimation eines aussenstehenden Berufsverbandes gegenüber den Vertragsparteien auf Teilnichtigkeit eines Gesamtarbeitsvertrags zu klagen und Ansprüche wegen Verletzung der Persönlichkeitsrechte, wegen Beeinträchtigung seiner Wettbewerbsstellung sowie als Verband zu erheben.</w:t>
      </w:r>
    </w:p>
    <w:p>
      <w:r>
        <w:t>Regeste Convention collective de travail; qualité pour agir d'une association professionnelle (art. 356 CO; art. 28 CC; art. 9 et 10 LCD). Qualité d'une association professionnelle tierce vis-à-vis des parties contractantes pour agir en nullité partielle d'une convention collective de travail et faire valoir des prétentions pour violation des droits de la personnalité, atteinte à sa position dans la concurrence et également en qualité d'association.</w:t>
      </w:r>
    </w:p>
    <w:p>
      <w:r>
        <w:t>Regesto Contratto collettivo di lavoro; legittimazione attiva di un'associazione professionale (art. 356 CO; art. 28 CC; art. 9 e 10 LCSl). Legittimazione di un'associazione professionale a far valere nei confronti delle controparti la nullità parziale di un contratto collettivo di lavoro e pretese per violazione dei diritti della personalità, in relazione al pregiudizio subito nella concorrenza come pure quale associazione.</w:t>
      </w:r>
    </w:p>
    <w:p>
      <w:pPr>
        <w:pStyle w:val="Heading2"/>
      </w:pPr>
      <w:r>
        <w:t>Erwägungen</w:t>
      </w:r>
    </w:p>
    <w:p>
      <w:r>
        <w:rPr>
          <w:b/>
        </w:rPr>
        <w:t>E. 2</w:t>
      </w:r>
    </w:p>
    <w:p>
      <w:r>
        <w:t>Der Appellationshof hat die Klage wegen fehlender Aktivlegitimation abgewiesen. Das Gericht hat der Klägerin damit die Berechtigung abgesprochen, die eingeklagten Ansprüche in eigenem Namen zu verfolgen (GULDENER, Schweizerisches Zivilprozessrecht, 3. Aufl., 1979, S. 139) und gegenüber den Beklagten geltend zu machen ( BGE 114 II 345 E. 3a S. 346, BGE 107 II 82 E. 2a S. 85). Die Klägerin rügt, die Vorinstanz habe ihre Sachlegitimation in Verletzung bundesrechtlicher Normen verneint und insbesondere nicht zwischen ihrer Klagebefugnis aus eigenem Recht und ihrem Verbandsklagerecht unterschieden. Aktiv- bzw. passivlegitimiert sind grundsätzlich die Träger des Rechtsverhältnisses, welches Gegenstand des Urteils bilden soll (GULDENER, a.a.O., S. 139; VOGEL, Grundriss des Zivilprozessrechts und des internationalen Zivilprozessrechts, 3. Aufl., 1992, Kap. 7 N. 91). Einige Bestimmungen des Bundesrechts sehen ein Verbandsklagerecht vor, welches einer Organisation gestattet, ihre Rechtsbegehren in eigenem Namen, jedoch im Interesse ihrer Mitglieder oder gar weiterer betroffener Personen durchzusetzen ( BGE 103 II 294 E. 2 S. 299 f.; STAEHELIN/SUTTER, Zivilprozessrecht, § 9 N. 20; VOGEL, a.a.O., Kap. 7 N. 92a f.). Die Klägerin macht die eingeklagten Ansprüche einerseits mit der Behauptung geltend, sie selbst sei in ihren eigenen Rechten durch die beanstandete Regelung im Gesamtarbeitsvertrag der Beklagten verletzt, und es ständen ihr daraus eigene Ansprüche zu. Andererseits beruft sie sich auf ihre Eigenschaft als Berufsverband, dem Arbeitnehmerinnen und Arbeitnehmer in der graphischen Industrie, in der Druckweiterverarbeitung und im Medienbereich angehören, und der sich nach Artikel 3 der Statuten für die beruflichen, materiellen, sozialen, ökologischen und kulturellen Interessen der Mitglieder einsetzt, und zwar im besonderen durch (a) den Zusammenschluss und die Organisation BGE 121 III 168 S. 171 aller Arbeitnehmerinnen und Arbeitnehmer, (b) das Aushandeln günstiger Arbeitsbedingungen in Gesamtarbeitsverträgen sowie (c) die Weiterentwicklung des Arbeitsrechts, des Schutzes von Arbeitnehmerinnen und Arbeitnehmer und der Sozialgesetzgebung. Unter diesen Umständen ist gesondert zu prüfen, ob die Klägerin aktivlegitimiert ist, einerseits aus eigenem Recht und andererseits als Berufsverband im Interesse Dritter Ansprüche klageweise geltend zu machen.</w:t>
      </w:r>
    </w:p>
    <w:p>
      <w:r>
        <w:rPr>
          <w:b/>
        </w:rPr>
        <w:t>E. 3</w:t>
      </w:r>
    </w:p>
    <w:p>
      <w:r>
        <w:t>Die Klägerin beruft sich zunächst auf eigene Rechte, wenn sie zur Begründung ihrer Begehren vorbringt, die beanstandete Bestimmung im Gesamtarbeitsvertrag verletze sie in ihrer Persönlichkeit und bedrohe sie in ihren wirtschaftlichen Interessen. a) Wer in seiner Persönlichkeit widerrechtlich verletzt wird, kann zu seinem Schutz gegen jeden, der an der Verletzung mitwirkt, den Richter anrufen ( Art. 28 Abs. 1 ZGB ); widerrechtlich ist eine Persönlichkeitsverletzung, wenn sie nicht durch Einwilligung des Verletzten, durch ein überwiegendes privates oder öffentliches Interesse oder durch Gesetz gerechtfertigt ist ( Art. 28 Abs. 2 ZGB ). Der Persönlichkeitsschutz steht nach konstanter Rechtsprechung nicht nur natürlichen, sondern auch juristischen Personen insoweit zu, als er nicht auf Eigenschaften beruht, die ihrer Natur nach nur den natürlichen Personen zukommen ( BGE 108 II 241 E. 6 S. 244, BGE 95 II 481 E. 4 S. 488 f., vgl. auch BGE 117 II 513 ff.; PEDRAZZINI/OBERHOLZER, Grundriss des Personenrechts, 4. Aufl., 1993, S. 212 Ziff. 8.4.2.1; TERCIER, Le nouveau droit de la personnalité, S. 75 f. N. 520 und 521; TUOR/SCHNYDER/SCHMID, Das Schweizerische Zivilgesetzbuch, 11. Aufl., 1995, S. 93). Zu den Persönlichkeitsrechten, die auch den juristischen Personen eignen, gehört unter anderen der Anspruch auf soziale Geltung und namentlich das Recht auf freie wirtschaftliche Entfaltung, das heute weitgehend noch eigens durch das Bundesgesetz gegen den unlauteren Wettbewerb (UWG; SR 241) und jenes über die Kartelle und ähnlichen Organisationen (KG; SR 251) geschützt ist (TERCIER, a.a.O., S. 71 f. N. 493 bis 495; A. BUCHER, Natürliche Personen und Persönlichkeitsschutz, S. 138 f. N. 495 und 496). aa) Mit einem Gesamtarbeitsvertrag ( Art. 356 ff. OR ) soll den Verbänden eine reale Einflussmöglichkeit auf die Gestaltung der Arbeitsverhältnisse in die Hand gegeben werden, um minimale Arbeits- und Sozialbedingungen für die einzelnen Arbeitnehmer festzulegen ( BGE 115 II 251 E. 4a S. 253; VISCHER, Schweizerisches Privatrecht, Bd. VII/1, III, S. 247 und 265). Der BGE 121 III 168 S. 172 Gesamtarbeitsvertrag bezweckt, die schwächere Partei zu schützen, eine einheitliche Behandlung der Arbeitnehmer zu sichern, sozialen Konflikten vorzubeugen und die Anstellungsbedingungen mit relativ flexiblen Normen zu ordnen ( BGE 113 II 37 E. 4c S. 44; OR-REHBINDER, N. 1 und 7 zu Art. 356). Hieraus hat das Bundesgericht eine Beschränkung der Privatautonomie der Parteien eines Gesamtarbeitsvertrages abgeleitet; die Vertragsfreiheit darf von ihnen nicht unbesehen der Zwecke des Gesamtarbeitsvertrages ausgeübt und es dürfen insbesondere keine Ziele verfolgt werden, die denen des Gesetzes objektiv widersprechen ( BGE 113 II 37 E. 4c S. 45 f.). Die Zielsetzung des Instituts des Gesamtarbeitsvertrages schützt auch die Persönlichkeit der vertragsfähigen Gewerkschaften als Körperschaften des privaten Rechts, da diese anderenfalls gar nicht mehr in der Lage wären, ihre Aufgabe ordnungsgemäss zu erfüllen. In BGE 113 II 37 E. 4c S. 45 f. ist daraus in Weiterentwicklung von BGE 75 II 305 E. 9a S. 326 abgeleitet worden, dass weder Mehrheitsgewerkschaften noch Arbeitgeberverbände bzw. Unternehmen repräsentative Minderheitsgewerkschaften ohne achtenswerte Gründe von Verhandlungen über den Abschluss oder vom Beitritt zu abgeschlossenen Gesamtarbeitsverträgen verdrängen dürfen (vgl. auch VISCHER, a.a.O., S. 253). bb) Die Klägerin hat die Verhandlungen über den Abschluss des umstrittenen Gesamtarbeitsvertrages geführt, und der Beitritt wird ihr von den Beklagten nicht verwehrt. Die Verletzung ihrer Persönlichkeitsrechte sieht sie im Umstand, dass die Beklagten mit dem Gesamtarbeitsvertrag eine Bestimmung über den Minimallohn vereinbart haben, welche die Klägerin nicht unterzeichnen kann oder will, weil sie diese als rechtswidrig betrachtet. Da die Klägerin dem Gesamtarbeitsvertrag der Beklagten nur in der Form beitreten könnte, wie er im April 1990 abgeschlossen wurde ( BGE 118 II 431 E. 4a S. 433), sieht sie sich vor die Wahl gestellt, auf die Vorteile der Beteiligung am Gesamtarbeitsvertrag und damit auch auf die Wahrnehmung ihrer eigentlichen statutarischen Aufgabe zu verzichten, oder mit der Zustimmung zur diskriminierenden Minimallohnregelung für Nichtberufsleute im Gesamtarbeitsvertrag an einer rechtswidrigen Handlung mitzuwirken. Wenn ihr der Appellationshof die Aktivlegitimation abspricht aus der Erwägung, dass der Abschluss des Gesamtarbeitsvertrages durch die Beklagten sie nicht berühre, weil sie am Vertrag nicht beteiligt sei, so verkennt er sowohl die absolute Natur der Persönlichkeitsrechte wie die Tatsache, dass Verträge Dritter sich als faktische Angriffe auf die Persönlichkeit im Sinne von BGE 121 III 168 S. 173 Art. 28 ZGB auswirken können (BUCHER, Berner Kommentar, N. 13 in Vorbem. vor Art. 27 bis 30 ZGB; vgl. auch BGE 114 II 91 E. 2 S. 95). Die Klägerin behauptet einen derartigen Eingriff in ihren Anspruch auf soziale Geltung, wenn sie vorbringt, es werde ihr die Wahrnehmung ihrer körperschaftlichen Aufgaben verwehrt; sie werde von Gesamtarbeitsverträgen ausgeschlossen, weil sie sich weigere, an rechtswidrigem Handeln, nämlich an der Vereinbarung diskriminierender Lohnbestimmungen mitzuwirken. Als Trägerin der Persönlichkeitsrechte, auf die sie sich beruft und deren Verletzung sie durch den Gesamtarbeitsvertrag behauptet, ist die Klägerin zur Sache legitimiert. Der Appellationshof hat ihr somit zu Unrecht die Aktivlegitimation abgesprochen, soweit sie eine Verletzung ihrer eigenen Persönlichkeitsrechte behauptet. b) Nach Art. 9 Abs. 1 UWG ist klageberechtigt, wer in seiner Kundschaft, seinem Kredit oder beruflichen Ansehen, in seinem Geschäftsbetrieb oder sonst in seinen wirtschaftlichen Interessen bedroht oder verletzt wird. Dem Gericht kann unter dieser Voraussetzung beantragt werden, (a) eine drohende Verletzung zu verbieten, (b) eine bestehende Verletzung zu beseitigen, (c) die Widerrechtlichkeit einer Verletzung festzustellen, wenn sich diese weiterhin störend auswirkt. Nach Art. 9 Abs. 2 UWG kann überdies verlangt werden, dass eine Berichtigung oder das Urteil Dritten mitgeteilt oder veröffentlicht wird. Nach Abs. 3 dieser Bestimmung kann schliesslich nach Massgabe des Obligationenrechts auf Schadenersatz und Genugtuung sowie auf Herausgabe eines Gewinns geklagt werden. aa) Die Ansprüche aus unlauterem Wettbewerb sind besondere Ausprägungen des allgemeinen Persönlichkeitsschutzes gemäss Art. 28 ZGB , dessen Klagen insoweit subsidiär, neben den spezialgesetzlichen bestehen ( BGE 110 II 411 E. 3a S. 417 sowie unveröffentlichtes Urteil vom 31. Oktober 1991 i.S. Sch. c/S., E. 3b; TERCIER, a.a.O., S. 236 N. 1782). Mit dem Erfordernis der Verletzung in eigenen Interessen als Voraussetzung der Aktivlegitimation nach Art. 9 Abs. 1 UWG wird ein gewisses Spannungsverhältnis zur Zwecksetzung des revidierten Bundesgesetzes gegen den unlauteren Wettbewerb geschaffen, das in funktionaler Weise die Lauterkeit des Wettbewerbs gewährleisten will und daher das Bestehen eines Wettbewerbsverhältnisses für die Annahme unlauteren Wettbewerbs nicht voraussetzt (PEDRAZZINI, Unlauterer Wettbewerb, UWG, S. 223 Ziff. 16.1; BAUDENBACHER, Schwerpunkte der schweizerischen UWG-Reform, in Das UWG auf neuer Grundlage, S. 15 ff., BGE 121 III 168 S. 174 31; J. MÜLLER, Schweizerisches Immaterialgüter- und Wettbewerbsrecht, Bd. V/1, S. 8; H.P. WALTER, Das Wettbewerbsverhältnis im neuen UWG, in SMI 1992 S. 169 ff., 169 Ziff. 2). Das Wettbewerbsverhältnis begründet dennoch auch nach neuem Recht das Rechtsschutzinteresse im Sinne von Art. 9 Abs. 1 UWG für die Beteiligten (H.P. WALTER, a.a.O., S. 179 Ziff. 10; DAVID, Schweizerisches Wettbewerbsrecht, 2. Aufl., 1988, S. 165; PEDRAZZINI, a.a.O., S. 224 Ziff. 16.1). Immerhin sind die Interessen, aufgrund derer nach Art. 9 Abs. 1 UWG die Aktivlegitimation zu bejahen ist, dem Wortlaut der Bestimmung nach nicht an eine direkte Konkurrenzsituation gebunden; es genügt vielmehr jede Verschlechterung der eigenen Stellung im Wettbewerb durch das inkriminierte Verhalten zur Begründung der Aktivlegitimation; die Klageberechtigung ist insofern nicht auf Mitbewerber beschränkt (Botschaft vom 18. Mai 1983 zum Bundesgesetz gegen den unlauteren Wettbewerb [UWG], BBl 1983 II 1009 ff., S. 1075; GUYET, Les actions en justice, in La nouvelle loi fédérale contre la concurrence déloyale, CEDIDAC 1988, S. 89 ff., 91). bb) Die Klägerin steht als Berufsverband im Wettbewerb zu anderen Berufsverbänden, die sich an dieselben Berufstätigen als mögliche Mitglieder wenden, wie namentlich die Beklagte 2, zu der sie sogar in direkter Konkurrenz stehen dürfte. Die Klägerin vertritt nicht nur die Interessen der ihr angeschlossenen Arbeitnehmerinnen und Arbeitnehmer im Rahmen von Gesamtarbeitsverträgen, sondern bietet ihnen auch Dienstleistungen an, namentlich Beratung unterschiedlicher Art. Sie macht geltend, sie sei durch den Abschluss des umstrittenen Gesamtarbeitsvertrages nicht nur in ihrem Kredit und Ansehen, sondern auch in ihren wirtschaftlichen Interessen verletzt. Da sie den Gesamtarbeitsvertrag der Beklagten nicht unterzeichnet habe, habe sie Mitglieder durch Austritte verloren. Hieraus leitet sie Schadenersatzansprüche - wegen entgangener Mitgliederbeiträge - ab. Die Klägerin ist entgegen der Auffassung der Vorinstanz nach Art. 9 Abs. 1 UWG zur Klage legitimiert.</w:t>
      </w:r>
    </w:p>
    <w:p>
      <w:r>
        <w:rPr>
          <w:b/>
        </w:rPr>
        <w:t>E. 4</w:t>
      </w:r>
    </w:p>
    <w:p>
      <w:r>
        <w:t>Die Klägerin begründet ihre Aktivlegitimation sodann mit Ansprüchen, zu deren Geltendmachung sie als Verband befugt sei. Sie beruft sich diesbezüglich einerseits auf Art. 10 Abs. 2 UWG und andererseits auf die Persönlichkeitsrechte ihrer Mitglieder bzw. weiterer durch die umstrittene Mindestlohnvorschrift diskriminierter Arbeitnehmerinnen. a) Nach Art. 10 Abs. 2 lit. a UWG sind Berufs- und Wirtschaftsverbände, die nach den Statuten zur Wahrung der wirtschaftlichen Interessen ihrer BGE 121 III 168 S. 175 Mitglieder befugt sind, zur Erhebung von Klagen nach Art. 9 Abs. 1 und 2 UWG legitimiert. Die Ausweitung und Verstärkung der Klagerechte hinsichtlich der Berufs- und Wirtschaftsverbände bildete ein zentrales Anliegen der Revision des Gesetzes vom 19. Dezember 1986 (Botschaft zum UWG, a.a.O., S. 1076). So wurde den Verbänden das Klagerecht direkt eingeräumt und auf dessen altrechtliche Abhängigkeit von der Klagebefugnis der Mitglieder verzichtet; festgehalten wurde bewusst nur am Erfordernis, dass die Verbände gemäss Statuten zur Wahrung der wirtschaftlichen Interessen ihrer Mitglieder befugt sind (Botschaft zum UWG, a.a.O., S. 1077). aa) Die Klägerin vereinigt als Berufsverband Arbeitnehmerinnen und Arbeitnehmer in der graphischen Industrie, in der Druckweiterverarbeitung und im Medienbereich und setzt sich nach Artikel 3 der Statuten für die beruflichen, materiellen, sozialen, ökologischen und kulturellen Interessen der Mitglieder ein. Aufgrund dieser statutarischen Bestimmung ist die Klägerin zur Wahrung der wirtschaftlichen Interessen ihrer Mitglieder im Sinne von Art. 10 Abs. 2 lit. a UWG befugt. Sie ist daher unabhängig von der Klagebefugnis ihrer Mitglieder berechtigt, Ansprüche wegen unlauterer Wettbewerbshandlungen geltend zu machen, und zwar mindestens soweit, als die wirtschaftlichen Interessen ihrer Mitglieder betroffen sind, zu deren Wahrung sie statutarisch befugt ist. Dies trifft jedenfalls für gesamtarbeitsvertragliche Mindestlohnvorschriften zu, deren Vereinbarung zu den wesentlichen Aufgaben der Klägerin gehört. bb) Die Zulässigkeit markt- und wettbewerbsbezogener Vereinbarungen beurteilt sich auch nach deren möglichen Beeinträchtigung des wirksamen Wettbewerbs und nach deren Auswirkungen auf die Freiheit Dritter zu wirtschaftlicher Betätigung ( BGE 114 II 91 E. 2 S. 95). Die Vorinstanz stellt die Wettbewerbsrelevanz der umstrittenen gesamtarbeitsvertraglichen Minimallohnbestimmungen zu Unrecht in Abrede. Nach Art. 7 UWG handelt insbesondere unlauter, wer Arbeitsbedingungen nicht einhält, die durch Rechtssatz oder Vertrag auch dem Mitbewerber auferlegt, oder die berufs- bzw. ortsüblich sind. Die Klägerin bringt vor, die umstrittene gesamtarbeitsvertragliche Regelung der Beklagten über den Mindestlohn für ungelernte Arbeitnehmerinnen widerspreche dem Rechtssatz der Verfassung zur Lohngleichheit, zu deren Einhaltung jedermann verpflichtet ist. Diese Mindestlohnregelung verfälsche daher den Wettbewerb zwischen den Unternehmen der Beklagten einerseits und denjenigen, die sich an das Lohngleichheitsgebot halten, andererseits und sei daher unlauter. Die BGE 121 III 168 S. 176 Klägerin ist nach Art. 10 Abs. 2 lit. a UWG zur Klage befugt (vgl. G. AUBERT, Discriminations salariales, protection de la personnalité et concurrence déloyale, in AJP 1992 S. 572 ff., 574; ebenso Botschaft vom 24. Februar 1993 zum Bundesgesetz über die Gleichstellung von Frau und Mann [Gleichstellungsgesetz], BBl 1993 I 1248 ff., S. 1302). b) Die Klägerin beruft sich schliesslich auf die Persönlichkeitsrechte ihrer Mitglieder, namentlich der ungelernten Arbeitnehmerinnen, um ihr Verbandsklagerecht zu begründen. Sie ist nach der Rechtsprechung als Berufsverband zur Klage im Interesse der Arbeitnehmerinnen der Branche befugt unter der Voraussetzung, dass sie nach den Statuten die wirtschaftlichen Interessen ihrer Mitglieder wahrt und diese selbst zur Klage legitimiert wären ( BGE 114 II 345 E. 3b S. 347 mit Hinweisen). Diese Voraussetzungen sind erfüllt. Namentlich sind die ungelernten Arbeitnehmerinnen befugt, in eigenem Namen wegen Verletzung ihrer Persönlichkeitsrechte infolge diskriminierender Mindestlohnvorschriften im Gesamtarbeitsvertrag der Beklagten zu klagen (G. AUBERT, a.a.O., S. 573; Botschaft zum Gleichstellungsgesetz, a.a.O., S. 1322).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