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16</w:t>
      </w:r>
    </w:p>
    <w:p>
      <w:r>
        <w:t>Bundesgericht (BGE), 1995-01-01, DE</w:t>
      </w:r>
    </w:p>
    <w:p>
      <w:r>
        <w:rPr>
          <w:b/>
        </w:rPr>
        <w:t xml:space="preserve">Quelle: </w:t>
      </w:r>
      <w:r>
        <w:t>https://mcp.opencaselaw.ch/entscheid/bge_BGE_121_III_16</w:t>
      </w:r>
    </w:p>
    <w:p>
      <w:r>
        <w:t>FR: ATF 121 III 16</w:t>
      </w:r>
    </w:p>
    <w:p>
      <w:r>
        <w:t>IT: DTF 121 III 16</w:t>
      </w:r>
    </w:p>
    <w:p>
      <w:pPr>
        <w:pStyle w:val="Heading2"/>
      </w:pPr>
      <w:r>
        <w:t>Regeste</w:t>
      </w:r>
    </w:p>
    <w:p>
      <w:r>
        <w:t>Regeste Zustellung einer Betreibungsurkunde (Art. 65 Abs. 1 Ziff. 2 SchKG). Auch der nicht dem Verwaltungsrat angehörende Geschäftsführer einer Aktiengesellschaft muss zur Entgegennahme einer Betreibungsurkunde berechtigt sein.</w:t>
      </w:r>
    </w:p>
    <w:p>
      <w:r>
        <w:t>Regeste Notification d'un acte de poursuite (art. 65 al. 1 ch. 2 LP). Celui qui, bien que n'étant pas membre du conseil d'administration, gère les affaires d'une société anonyme est aussi habilité à recevoir la notification d'un acte de poursuite.</w:t>
      </w:r>
    </w:p>
    <w:p>
      <w:r>
        <w:t>Regesto Notificazione di un atto esecutivo (art. 65 cpv. 1 n. 2 LEF). Anche il gestore di una società anonima, che non è membro del consiglio di amministrazione, dev'essere abilitato a ricevere atti esecutivi.</w:t>
      </w:r>
    </w:p>
    <w:p>
      <w:pPr>
        <w:pStyle w:val="Heading2"/>
      </w:pPr>
      <w:r>
        <w:t>Erwägungen</w:t>
      </w:r>
    </w:p>
    <w:p>
      <w:r>
        <w:rPr>
          <w:b/>
        </w:rPr>
        <w:t>E. 3</w:t>
      </w:r>
    </w:p>
    <w:p>
      <w:r>
        <w:t>Nach Auffassung der Rekurrentin ist die Konkursandrohung aufzuheben, da auf dieser Urkunde kein Vertreter der betreibenden Gläubigerin angegeben und die Aushändigung zudem an den Ehemann ihrer Verwaltungsrätin und nicht an diese selber erfolgt war. a) Die Konkursandrohung enthält unter anderem auch die Angaben des Betreibungsbegehrens ( Art. 160 Abs. 1 Ziff. 1 SchKG ). Der Name und Wohnort des Gläubigers ist demnach aufzuführen und sein allfälliger Bevollmächtigter ist zu bezeichnen ( Art. 67 Abs. 1 Ziff. 1 SchKG ). Bereits aufgrund des Wortes 'allfälliger' wird klar, dass es sich dabei nicht um ein Organ der Aktiengesellschaft handeln kann, das diese von Gesetzes wegen aufweisen muss, sondern ausschliesslich um einen bestellten Vertreter; zu denken ist beispielsweise an einen Rechtsanwalt oder einen Geschäftsagenten ( Art. 27 SchKG ). b) Bei der Konkursandrohung handelt es sich zweifellos um eine Betreibungsurkunde, die nach den Erfordernissen von Art. 64 ff. SchKG zugestellt werden muss ( BGE 120 III 57 E. 2a S. 58). In dem gegen eine Aktiengesellschaft eröffneten Betreibungsverfahren hat die Zustellung der Betreibungsurkunde an einen Vertreter derselben zu erfolgen; als solcher gilt jedes Mitglied der Verwaltung und jeder Prokurist ( Art. 65 Abs. 1 Ziff. 2 SchKG ). Im vorliegenden Fall ist die Konkursandrohung dem im Handelsregister mit Einzelunterschrift eingetragenen Geschäftsführer zugestellt worden. c) Immer schon neigten die Verwaltungsräte schweizerischer Aktiengesellschaften dazu, die Befugnisse zur täglichen Führung der BGE 121 III 16 S. 18 Geschäfte zu delegieren. Ist der Träger dieser Verpflichtungen selbst Mitglied des Verwaltungsrates, so heisst er zumeist 'Delegierter'. Ist dies nicht der Fall, so wird er 'Direktor' oder 'Mitglied der Geschäftsleitung' genannt (BÖCKLI, Das neue Aktienrecht, Zürich 1992, S. 431; BÜRGI, Zürcher Kommentar, Art. 717 aOR N. 21). Die Vertretungsbefugnis eines Geschäftsführers kann auf den Hauptsitz oder die Zweigniederlassung beschränkt werden. Seine Zeichnungsberechtigung kann mit andern Unterschriftsberechtigten verbunden werden ( Art. 718a Abs. 2 OR , Art. 718 Abs. 2 aOR). Diese Regelung kann auch für die gesetzlich umschriebene Handlungsvollmacht des Prokuristen getroffen werden ( Art. 460 OR ). d) Zur Entgegennahme von Betreibungsurkunden muss sowohl der nicht dem Verwaltungsrat angehörende Geschäftsführer als auch der Prokurist berechtigt sein. Jede andere Lösung würde der Nähe des Geschäftsführers zum Verwaltungsrat und seiner Bedeutung im Vergleich zum Prokuristen nicht gerecht. Der angefochtene Beschluss ist demnach in diesem Punkt - mit dem durchaus gerechtfertigten Hinweis auf JAEGER (Das Bundesgesetz betreffend Schuldbetreibung und Konkurs, Band I, 3.A. Zürich 1911, Art. 65 N. 10) -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