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118</w:t>
      </w:r>
    </w:p>
    <w:p>
      <w:r>
        <w:t>Bundesgericht (BGE), 1995-01-01, DE</w:t>
      </w:r>
    </w:p>
    <w:p>
      <w:r>
        <w:rPr>
          <w:b/>
        </w:rPr>
        <w:t xml:space="preserve">Quelle: </w:t>
      </w:r>
      <w:r>
        <w:t>https://mcp.opencaselaw.ch/entscheid/bge_BGE_121_III_118</w:t>
      </w:r>
    </w:p>
    <w:p>
      <w:r>
        <w:t>FR: ATF 121 III 118</w:t>
      </w:r>
    </w:p>
    <w:p>
      <w:r>
        <w:t>IT: DTF 121 III 118</w:t>
      </w:r>
    </w:p>
    <w:p>
      <w:pPr>
        <w:pStyle w:val="Heading2"/>
      </w:pPr>
      <w:r>
        <w:t>Regeste</w:t>
      </w:r>
    </w:p>
    <w:p>
      <w:r>
        <w:t>Regeste Aktivlegitimation des Mitglieds einer Erbengemeinschaft zur prozessualen Durchsetzung ererbter Urheberrechte (Art. 7, 16 URG; Art. 8, 602 Abs. 2 ZGB; Art. 18 OR; Art. 64 Abs. 1 OG). Die Gesetzesvorschriften, welche die Miturheberschaft regeln, kommen nicht zur Anwendung. Ein einzelnes Mitglied der Erbengemeinschaft ist deshalb nicht befugt, gestützt auf Art. 7 Abs. 3 URG in eigenem Namen eine Urheberrechtsverletzung einzuklagen (E. 2). Die Aktivlegitimation kann im vorliegenden Fall auch nicht aus den Bestimmungen des ZGB über die Erbengemeinschaft abgeleitet werden (E. 3). Ob sie sich aus einem von den Erben abgeschlossenen Erbteilungsvertrag ergibt, hängt von dessen Auslegung ab (E. 4).</w:t>
      </w:r>
    </w:p>
    <w:p>
      <w:r>
        <w:t>Regeste Qualité d'un membre d'une communauté héréditaire pour faire valoir en justice des droits d'auteur acquis par voie de succession (art. 7, 16 LDA; art. 8, 602 al. 2 CC; art. 18 CO; art. 64 al. 1 OJ). Les dispositions légales qui règlent la qualité de coauteur ne sont pas applicables. Partant, l'un des membres d'une communauté héréditaire n'a pas qualité pour intenter seul et en son propre nom, en invoquant l'art. 7 al. 3 LDA, une action fondée sur la violation du droit d'auteur (consid. 2). Dans la présente espèce, la qualité pour agir ne peut pas non plus être déduite des dispositions du CC sur la communauté héréditaire (consid. 3). Savoir si elle découle d'une convention de partage successoral conclue par les héritiers est une question d'interprétation de cette convention (consid. 4).</w:t>
      </w:r>
    </w:p>
    <w:p>
      <w:r>
        <w:t>Regesto Legittimazione di un membro di una comunità ereditaria a far valere in giustizia diritti d'autore acquisiti in via ereditaria (art. 7, 16 LDA; art. 8, 602 cpv. 2 CC, art. 18 CO; art. 64 cpv. 1 OG). Le disposizioni legali che regolano la qualità di coautore non sono applicabili. Di conseguenza, un singolo membro di una comunità ereditaria non è legittimato a intentare in nome proprio, invocando l'art. 7 cpv. 3 LDA, un'azione fondata sulla violazione del diritto d'autore (consid. 2). Nella fattispecie, la legittimazione non può essere dedotta neppure da disposizioni del CC sulla comunità ereditaria (consid. 3). Il quesito se una simile legittimazione derivi da un contratto di divisione concluso tra gli eredi è una questione di interpretazione di tale contratto (consid. 4).</w:t>
      </w:r>
    </w:p>
    <w:p>
      <w:pPr>
        <w:pStyle w:val="Heading2"/>
      </w:pPr>
      <w:r>
        <w:t>Erwägungen</w:t>
      </w:r>
    </w:p>
    <w:p>
      <w:r>
        <w:rPr>
          <w:b/>
        </w:rPr>
        <w:t>E. 2</w:t>
      </w:r>
    </w:p>
    <w:p>
      <w:r>
        <w:t>Steht das Urheberrecht an einem Werk mehreren Personen als Urheber oder Urheberinnen gemeinschaftlich zu, so kann jeder Miturheber und jede Miturheberin Rechtsverletzungen selbständig verfolgen, Leistung jedoch nur an alle fordern ( Art. 7 Abs. 3 URG ; SR 231.1). Das Gesetz gibt damit jedem Miturheber und jeder Miturheberin eine prozessstandschaftliche Vertretungsbefugnis. Das Obergericht lehnt es ab, diese Regelung auf die in Gemeinschaft verbundenen Erben des Urhebers anzuwenden. Die Klägerin erblickt darin eine Verletzung von Bundesrecht. Die Miturheberschaft im Sinne von Art. 7 URG beruht auf dem Gedanken der kollektiven Werkschöpfung, der Mitwirkung mehrerer Personen an einem neugeschöpften, im Gegensatz zum bearbeiteten ( Art. 3 URG ), verbundenen oder durch Kompilation ( Art. 4 URG ) geschaffenen Werk. Die einzelnen Miturheber oder Miturheberinnen stehen in einer Rechtsgemeinschaft, einer Gesamthandschaft sui generis (BARRELET/EGLOFF, Das neue Urheberrecht, N. 2 zu Art. 7 URG ), die durch einen gemeinsamen, originären Rechtserwerb gekennzeichnet ist. Das als solches unteilbare Kollektivwerk (vgl. Art. 7 Abs. 4 URG ) ist durch die schöpferische Leistung mehrerer Personen geprägt, denen das Gesetz je einzeln die Befugnis einräumt, die absolute Rechtsstellung aus der Urheberschaft durchzusetzen. Die verselbständigte Rechtszuständigkeit folgt dabei aus der eigenen schöpferischen Leistung. Das Urheberrecht ist vererblich ( Art. 16 Abs. 1 URG ). Die Erbfolge beurteilt sich hinsichtlich Voraussetzungen und Wirkungen ausschliesslich nach den Bestimmungen des Erbrechts. Unter mehreren Erben entsteht von Gesetzes wegen eine Erbengemeinschaft ( Art. 602 ff. ZGB ). Vereinzelt wird in der Literatur die Auffassung vertreten, diese unterstehe in bezug auf das durch Universalsukzession übergegangene Urheberrecht den Bestimmungen über die Miturheberschaft (REHBINDER, Schweizerisches Urheberrecht, S. 132). Dies entspricht der Regelung des österreichischen BGE 121 III 118 S. 121 Urheberrechtsgesetzes (§ 23 Abs. 4) und einer minoritär in Deutschland vertretenen Meinung (vgl. FROMM/NORDEMANN, Urheberrecht, 8. Aufl., N. 4 zu § 28 DURG). Für das schweizerische Recht ist sie indessen bereits deshalb abzulehnen, weil der Begriff der Miturheberschaft zwingend aus der eigenen schöpferischen Leistung an einem Kollektivwerk und nicht aus dem derivativen Übergang eines Urheberrechts auf mehrere Rechtsnachfolger des originär Berechtigten folgt. Sie wird denn auch in der schweizerischen Literatur abgelehnt (vgl. BARRELET/EGLOFF, a.a.O., N. 13 zu Art. 16 URG ; MARBACH, Rechtsgemeinschaft an Immaterialgüterrechten, S. 183). Aus Art. 7 Abs. 3 URG kann die Klägerin ihre Aktivlegitimation demnach nicht herleiten.</w:t>
      </w:r>
    </w:p>
    <w:p>
      <w:r>
        <w:rPr>
          <w:b/>
        </w:rPr>
        <w:t>E. 3</w:t>
      </w:r>
    </w:p>
    <w:p>
      <w:r>
        <w:t>In der privatrechtlichen Auseinandersetzung ist die Sachlegitimation nicht Prozessvoraussetzung, sondern Bedingung der materiellen Begründetheit der Rechtsbehauptung, mithin eine Frage des Bundesrechts in den von ihm beherrschten Rechtsbeziehungen ( BGE 114 II 345 E. 3a S. 346). Nach dem Gesetz aber werden mehrere Erben Gesamteigentümer der Erbschaftsgegenstände und verfügen unter Vorbehalt der vertraglichen oder gesetzlichen Vertretungs- und Verwaltungsbefugnisse gemeinsam über die Rechte der Erbschaft ( Art. 602 Abs. 2 ZGB ). Aus diesem erbrechtlichen Gesamthandsprinzip ergibt sich, dass die Mitglieder einer Erbengemeinschaft in der Rechtsverfolgung nur gemeinsam zur Prozessführung befugt sind. Das Bundesgericht hat in diesem Sinne am Erfordernis der Willensübereinstimmung aller Erben in zivilrechtlichen Auseinandersetzungen stets streng festgehalten ( BGE 100 II 440 E. 1, BGE 89 II 429 ff., BGE 54 II 110 E. 4 S. 112 und 197 E. 2, BGE 52 II 195 ff., BGE 51 II 267 E. 1). Das Erfordernis gemeinsamen Handelns bezweckt den Schutz der Gemeinschaft gegen schädliche Sonderaktionen einzelner Gemeinschafter (MEIER-HAYOZ, Berner Kommentar, N. 6 zu Art. 653 ZGB ). Unzulässig sind deshalb nebst den eigentlichen Verfügungen über das Recht all jene Rechtshandlungen, welche die Gefahr einer Benachteiligung der Gemeinschaft oder ihrer Mitglieder mit sich bringen können. Im Gegensatz zum deutschen Recht (vgl. § 2039 BGB) ist ein Erbe sodann nach herrschender schweizerischer Lehre und bundesgerichtlicher Rechtsprechung auch nicht ohne weiteres befugt, auf eigene Gefahr für die Erbengemeinschaft tätig zu werden (PIOTET, Schweiz. Privatrecht, Bd. IV/2, S. 667 mit Hinweisen; a.A. JOST, Die Aktivlegitimation des Miterben zu erbrechtlichen Klagen, SJZ 46/1950, S. 149 ff.). Selbständiges BGE 121 III 118 S. 122 zivilprozessuales Vorgehen einzelner Miterben auf der Aktivseite - für die Passivseite gilt anderes aufgrund der Solidarhaft nach Art. 603 Abs. 1 ZGB - hat das Bundesgericht vielmehr bloss in Ausnahmefällen zugelassen, etwa bei zeitlicher Dringlichkeit ( BGE 93 II 11 E. 2b S. 14 f.) sowie bei unmittelbarem oder mittelbarem Einbezug aller Erben in das Verfahren ( BGE 109 II 400 E. 2 S. 403), daneben aufgrund des Zweckgedankens des Gesamthandsprinzips auch für die Verfolgung blosser Informationsansprüche über Erbschaftsaktiven, die keine Benachteiligung der Miterben zur Folge haben können ( BGE 82 II 555 E. 7 S. 566). Ein Ausnahmefall in der einen oder andern Richtung ist indessen in der vorliegenden Streitsache weder ersichtlich noch dargetan. Insbesondere reicht die von der Klägerin behauptete Zustimmung zweier - von drei - Miterben zu ihrem Vorgehen für die Annahme einer mittelbaren Beteiligung aller Mitglieder der Erbengemeinschaft am Verfahren nicht aus. Dass sodann in verwaltungsgerichtlichen Verfahren dem einzelnen Miterben eine weitergehende Handlungsmacht zukommen kann, beruht auf den dortigen besonderen Legitimationsvoraussetzungen, die sich nicht unbesehen auf die zivilrechtliche Auseinandersetzung übertragen lassen (vgl. dazu BGE 119 Ib 56 E. 1a, BGE 99 V 58 ff.). Weiter ist zu beachten, dass der eingeklagte Unterlassungsanspruch im wesentlichen vertraglicher Natur ist und bei seiner Beurteilung unter anderem der Generalvertrag vom 17. Dezember 1986 und der Zusatzvertrag vom 17. Januar 1991 eine Rolle spielen. Der im Vordergrund stehende Zusatzvertrag wurde jedoch erst nach dem Tode von Friedrich Dürrenmatt, das heisst mit dessen Erben als materiellen Vertragsparteien abgeschlossen. Ist aber die Klägerin nach dem Gesagten kraft ihrer Erbenstellung selbst an einem ausservertraglichen Unterlassungsanspruch nicht allein aktivlegitimiert, so gilt das in noch stärkerem Masse für die Durchsetzung von Ansprüchen aus vertraglicher Rechtsgemeinschaft. Insoweit kann somit dem Obergericht ebenfalls keine Bundesrechtsverletzung vorgeworfen werden.</w:t>
      </w:r>
    </w:p>
    <w:p>
      <w:r>
        <w:rPr>
          <w:b/>
        </w:rPr>
        <w:t>E. 4</w:t>
      </w:r>
    </w:p>
    <w:p>
      <w:r>
        <w:t>Damit stellt sich allein noch die Frage, ob die Klägerin ihre Aktivlegitimation aus dem Erbteilungsvertrag vom 18. Oktober 1991 herzuleiten vermag. a) Das Obergericht ist der Auffassung, der Klägerin sei im Erbteilungsvertrag bloss die Stellung einer Erbenvertreterin eingeräumt worden. Es schliesst dies aus dem Umstand, dass für den Fall ihres Todes die Ernennung eines neuen Erbenvertreters vorgesehen wurde, und dem ihr in Ziff. 20 des Erbteilungsvertrags erteilten Auftrag mit Vollmacht, die BGE 121 III 118 S. 123 verbleibenden vertraglichen Ansprüche gegenüber der Beklagten wahrzunehmen. Könnte auf dieses Auslegungsergebnis abgestellt werden, was im folgenden zu prüfen ist, so wäre die Schlussfolgerung des Obergerichts, dass der Klägerin die Aktivlegitimation fehlt, nicht zu beanstanden. Der gewillkürte Erbenvertreter ist nicht befugt, in eigenem Namen zu handeln. Er kann vielmehr nur im Namen sämtlicher Erben handeln, deren materielle Rechtszuständigkeit durch das Vertretungsverhältnis nicht berührt wird. b) Das Obergericht legt den Erbteilungsvertrag ausgehend von dessen Wortlaut normativ aus und schliesst auf ein blosses Vertretungsverhältnis, welches der Klägerin keine Aktivlegitimation verschaffe. Die Klägerin beruft sich demgegenüber auf einen abweichenden tatsächlichen Parteiwillen und wirft der Vorinstanz eine Verletzung von Art. 8 ZGB , ein offensichtliches Versehen, eine bundesrechtswidrige Anwendung von Art. 18 OR und allenfalls eine unrichtige normative Vertragsauslegung vor. Im Ergebnis beansprucht sie eine - offenbar fiduziarische - Übertragung der hier streitigen Rechte von den Erben an sich auf Lebenszeit. aa)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119 II 368 E. 4b S. 372 f., BGE 118 II 365 ff.). Der Vorrang der empirischen oder subjektiven vor der normativen oder objektivierten Vertragsauslegung, ergibt sich aus Art. 18 OR als Auslegungsregel. Die Verletzung dieses Grundsatzes kann deshalb mit der Berufung gerügt werden (vgl. KRAMER, Berner Kommentar, N. 76 zu Art. 18 OR ). Die Behauptungs- und Beweislast für Bestand und Inhalt eines vom normativen Auslegungsergebnis abweichenden subjektiven Vertragswillens trägt jene Partei, welche aus diesem Willen zu ihren Gunsten eine Rechtsfolge ableitet (JÄGGI/GAUCH, Zürcher Kommentar, N. 33 und 42 zu Art. 18 OR ). Die Klägerin BGE 121 III 118 S. 124 weist nach, sich in ihrer Replikschrift vor Obergericht darauf berufen zu haben, dass ihr die streitigen Rechte nach dem subjektiven Willen der Parteien des Erbteilungsvertrags zu eigenständiger Wahrnehmung übertragen worden seien. Das Obergericht setzt sich in seinem Urteil mit dieser Behauptung nicht auseinander. Es legt insbesondere nicht dar, weshalb es dazu keinen Beweis abgenommen hat. Dem Bundesgericht ist es indessen im Berufungsverfahren verwehrt zu prüfen, ob die übergangene Behauptung im kantonalen Verfahren prozesskonform vorgebracht und mit tauglichen Beweisanerbieten unterstützt wurde. Damit ist es ihm auch nicht möglich zu beurteilen, ob die bundesrechtliche Auslegungsregel von Art. 18 OR richtig angewendet worden ist. Sollten prozesskonforme Vorbringen vorgelegen haben, so hätte sich das Obergericht mit der Sachbehauptung der Klägerin auseinandersetzen müssen und sich nicht darauf beschränken dürfen, einfach auf die subsidiäre normative Vertragsauslegung abzustellen. bb) Daran ändert der Umstand nichts, dass der Erbteilungsvertrag gemäss Art. 634 Abs. 2 ZGB zur Gültigkeit der schriftlichen Form bedarf. Die in Art. 18 Abs. 1 OR verankerte Auslegung nach dem Willensprinzip gilt uneingeschränkt auch für formbedürftige Verträge. Auch bei ihnen ist der Wille der Parteien ohne Begrenzung durch den Vertragswortlaut zu erforschen und erst danach die Frage zu stellen, ob das Rechtsgeschäft den gesetzlichen Formvorschriften entspricht (KRAMER, Berner Kommentar, N. 59 zu Art. 18 OR ; JÄGGI/GAUCH, Zürcher Kommentar, N. 477 zu Art. 18 OR ). Die Form bestimmt nicht die Auslegung, sondern die Gültigkeit des Rechtsgeschäfts. Eine Ungültigkeit ist erst dann gegeben, wenn der Geschäftswille nicht formgenüglich verurkundet ist und nicht bereits dann, wenn das subjektive Vertragsverständnis der Parteien nicht mit dem objektiven Wortsinn ihrer Erklärungen übereinstimmt. Auf dieser Grundlage aber ist im vorliegenden Fall ohne weiteres davon auszugehen, dass auch der von der Klägerin behauptete subjektive Wille der Vertragsparteien formgenüglich erklärt worden wäre. cc) Die Berufung ist demnach insoweit begründet, als darin geltend gemacht wird, das Obergericht hätte zum behaupteten tatsächlichen Parteiwillen Feststellungen treffen müssen. In dieser Hinsicht ist der rechtserhebliche Sachverhalt im Sinne von Art. 64 Abs. 1 OG ergänzungsbedürftig. Der angefochtene Entscheid ist deshalb aufzuheben und die Streitsache an die Vorinstanz zurückzuweisen, die sich zum behaupteten tatsächlichen Parteiwillen zu äussern hat. BGE 121 III 118 S. 125 c) Für den Fall, dass die Klägerin ihre Behauptung hinsichtlich des subjektiven Parteiwillens nicht beweisen könnte, ist der Vollständigkeit halber bereits in diesem Verfahren festzuhalten, dass die normative Auslegung des Obergerichts, wonach sich aus den massgebenden Bestimmungen des Erbteilungsvertrags die Vereinbarung eines blossen Vertretungsverhältnisses ergebe, Bundesrecht nicht verletzt. Insoweit kann auf die zutreffenden Erwägungen der Vorinstanz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