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11</w:t>
      </w:r>
    </w:p>
    <w:p>
      <w:r>
        <w:t>Bundesgericht (BGE), 1995-01-01, DE</w:t>
      </w:r>
    </w:p>
    <w:p>
      <w:r>
        <w:rPr>
          <w:b/>
        </w:rPr>
        <w:t xml:space="preserve">Quelle: </w:t>
      </w:r>
      <w:r>
        <w:t>https://mcp.opencaselaw.ch/entscheid/bge_BGE_121_III_11</w:t>
      </w:r>
    </w:p>
    <w:p>
      <w:r>
        <w:t>FR: ATF 121 III 11</w:t>
      </w:r>
    </w:p>
    <w:p>
      <w:r>
        <w:t>IT: DTF 121 III 11</w:t>
      </w:r>
    </w:p>
    <w:p>
      <w:pPr>
        <w:pStyle w:val="Heading2"/>
      </w:pPr>
      <w:r>
        <w:t>Regeste</w:t>
      </w:r>
    </w:p>
    <w:p>
      <w:r>
        <w:t>Regeste Art. 34 und 64 ff. SchKG. Die an den Gläubiger gerichtete Fristansetzung zur Klage auf Aberkennung eines Anspruchs im Lastenverzeichnis ist eine Mitteilung im Sinne von Art. 34 SchKG. Die Zustellung durch eingeschriebenen Brief oder durch Übergabe gegen Empfangsbescheinigung soll sicherstellen, dass dem Beamten jederzeit der Beweis für die Mitteilung zur Verfügung steht.</w:t>
      </w:r>
    </w:p>
    <w:p>
      <w:r>
        <w:t>Regeste Art. 34 et 64 ss LP. L'avis impartissant au créancier un délai pour contester un droit inscrit à l'état des charges est une communication au sens de l'art. 34 LP. La communication par lettre recommandée ou par remise directe contre reçu doit permettre au fonctionnaire de l'office de faire en tout temps la preuve de la notification.</w:t>
      </w:r>
    </w:p>
    <w:p>
      <w:r>
        <w:t>Regesto Art. 34 e 64 segg. LEF. L'avviso con il quale viene assegnato al creditore un termine per contestare un diritto iscritto nell'elenco oneri è una comunicazione ai sensi dell'art. 34 LEF. La comunicazione mediante lettera raccomandata o tramite consegna brevi manu con ricevuta deve permettere al funzionario dell'Ufficio di addurre in ogni tempo la prova dell'avvenuta notifica.</w:t>
      </w:r>
    </w:p>
    <w:p>
      <w:pPr>
        <w:pStyle w:val="Heading2"/>
      </w:pPr>
      <w:r>
        <w:t>Erwägungen</w:t>
      </w:r>
    </w:p>
    <w:p>
      <w:r>
        <w:rPr>
          <w:b/>
        </w:rPr>
        <w:t>E. 1</w:t>
      </w:r>
    </w:p>
    <w:p>
      <w:r>
        <w:t>Dem angefochtenen Entscheid kann im Ergebnis insofern beigepflichtet werden, als die Fristansetzung zur Klage rechtsgültig erfolgt ist und mangels Klageerhebung der Anspruch des Dritten im Lastenverzeichnis als anerkannt zu gelten hat. Indessen stützt sich die Begründung des angefochtenen Entscheides zu Unrecht auf Art. 65 SchKG : Die Rekurrentin ist, wie in der Rekursschrift betont wird, Gläubigerin. Schon deswegen ist ihr gegenüber die Vorschrift von Art. 65 SchKG betreffend die Zustellung von Betreibungsurkunden an eine juristische Person in der gegen diese gerichteten Betreibung nicht anwendbar. Da das Gesetz bezüglich der mit dem Formular VZG 11a verfügten Fristansetzung an die Rekurrentin nicht etwas anderes vorschreibt, war diese Mitteilung gemäss Art. 34 SchKG durch eingeschriebenen Brief oder durch Übergabe gegen Empfangsbescheinigung zuzustellen. Diese Vorschrift ist weniger streng als die dem Schutz des Schuldners dienende Regelung der Art. 64 ff. SchKG , will sie doch nur sicherstellen, dass dem Beamten jederzeit der Beweis für die Mitteilung zur Verfügung steht ( BGE 91 III 41 E. 2, S. 44; FRITZSCHE/WALDER, Schuldbetreibung und Konkurs nach schweizerischem Recht, Band I, § 14 Rz. 12; AMONN, Grundriss des Schuldbetreibungs- und Konkursrechts, 5. Auflage, § 12 N. 3). Der Beweis dafür, dass P. C. - die Gattin des Verwaltungsratspräsidenten der Rekurrentin - die umstrittene Verfügung des Betreibungsamtes in Empfang BGE 121 III 11 S. 13 genommen und hernach in die Postablage von K. C. gelegt hat, ist erbracht. Es oblag allein der Rekurrentin, ihre betriebsinternen Abläufe derart zu gestalten und im Auge zu behalten, dass sie die nach Art. 34 SchKG erfolgte Mitteilung des Betreibungsamtes auch tatsächlich zur Kenntnis nehmen konnte ( BGE 120 III 57 E. 2b, S. 59). P. C. ihrerseits hätte, wenn sie zur Entgegennahme von an die Rekurrentin gerichteten Mitteilungen des Betreibungsamtes nicht befugt gewesen wäre oder keine Möglichkeit gesehen hätte, die Mitteilungen ungesäumt an die Rekurrentin weiterzuleiten, sie zurückweisen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