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224</w:t>
      </w:r>
    </w:p>
    <w:p>
      <w:r>
        <w:t>Bundesgericht (BGE), 1994-01-01, DE</w:t>
      </w:r>
    </w:p>
    <w:p>
      <w:r>
        <w:rPr>
          <w:b/>
        </w:rPr>
        <w:t xml:space="preserve">Quelle: </w:t>
      </w:r>
      <w:r>
        <w:t>https://mcp.opencaselaw.ch/entscheid/bge_BGE_120_V_224</w:t>
      </w:r>
    </w:p>
    <w:p>
      <w:r>
        <w:t>FR: ATF 120 V 224</w:t>
      </w:r>
    </w:p>
    <w:p>
      <w:r>
        <w:t>IT: DTF 120 V 224</w:t>
      </w:r>
    </w:p>
    <w:p>
      <w:pPr>
        <w:pStyle w:val="Heading2"/>
      </w:pPr>
      <w:r>
        <w:t>Regeste</w:t>
      </w:r>
    </w:p>
    <w:p>
      <w:r>
        <w:t>Regeste Art. 37 Abs. 2 und 3 UVG. - Zur Abgrenzung der Bestimmungen von Art. 37 Abs. 2 und 3 UVG (Erw. 2c). - Begriff des Vergehens gemäss Art. 37 Abs. 3 UVG (Erw. 2d). Art. 37 Abs. 3 UVG, Art. 91 Abs. 1 SVG, Art. 12 StGB, Art. 263 StGB. Kürzung oder Verweigerung von Geldleistungen nach Unfällen, die sich beim Führen eines Motorfahrzeuges in angetrunkenem Zustand ereignet haben (Erw. 3). Art. 37 Abs. 3 UVG. - Art. 37 Abs. 3 UVG räumt kein Entschliessungsermessen in dem Sinne ein, dass der UVG-Versicherer frei darüber entscheiden könnte, ob eine Sanktion zu verfügen ist oder nicht (Erw. 4b). - Bestätigung der SUVA-Praxis, wonach bei Unfällen unter Alkoholeinfluss der Kürzungssatz vom Ausmass der Trunkenheit abhängig ist (Erw. 4c).</w:t>
      </w:r>
    </w:p>
    <w:p>
      <w:r>
        <w:t>Regeste Art. 37 al. 2 et 3 LAA. - De la délimitation des dispositions de l'art. 37 al. 2 et 3 LAA (consid. 2c). - Notion de délit au sens de l'art. 37 al. 3 LAA (consid. 2d). Art. 37 al. 3 LAA, art. 91 al. 1 LCR, art. 12 CP, art. 263 CP. Réduction ou refus des prestations en espèces, en cas d'accidents survenus lors de la conduite en état d'ivresse d'un véhicule à moteur (consid. 3). Art. 37 al. 3 LAA. - L'art. 37 al. 3 LAA ne confère à l'assureur LAA aucune liberté d'appréciation en ce sens qu'il serait libre de décider si une sanction doit ou non être prononcée (consid. 4b). - Confirmation de la pratique de la Caisse nationale suisse d'assurance en cas d'accidents, selon laquelle le taux de réduction en cas d'accidents survenus sous l'influence de l'alcool dépend du degré de l'ébriété (consid. 4c).</w:t>
      </w:r>
    </w:p>
    <w:p>
      <w:r>
        <w:t>Regesto Art. 37 cpv. 2 e 3 LAINF. - Della delimitazione dei disposti di cui all'art. 37 cpv. 2 e 3 LAINF (consid. 2c). - Nozione di delitto ai sensi dell'art. 37 cpv. 3 LAINF (consid. 2d). Art. 37 cpv. 3 LAINF, art. 91 cpv. 1 LCS, art. 12 CP, art. 263 CP. Riduzione o rifiuto delle prestazioni in denaro al seguito di infortuni avvenuti in occasione della guida di un veicolo in stato di ebrietà (consid. 3). Art. 37 cpv. 3 LAINF. - L'art. 37 cpv. 3 LAINF non conferisce alcuna libertà d'apprezzamento, nel senso di una legittimazione dell'assicuratore infortuni a decidere liberamente se una sanzione sia o meno da applicare (consid. 4b). - Conferma della prassi dell'INSAI secondo cui nel caso di infortuni avvenuti sotto l'influenza dell'alcol il tasso di riduzione viene fissato in funzione del grado di ebrietà (consid. 4c).</w:t>
      </w:r>
    </w:p>
    <w:p>
      <w:pPr>
        <w:pStyle w:val="Heading2"/>
      </w:pPr>
      <w:r>
        <w:t>Erwägungen</w:t>
      </w:r>
    </w:p>
    <w:p>
      <w:r>
        <w:rPr>
          <w:b/>
        </w:rPr>
        <w:t>E. 1</w:t>
      </w:r>
    </w:p>
    <w:p>
      <w:r>
        <w:t>(Kognition)</w:t>
      </w:r>
    </w:p>
    <w:p>
      <w:r>
        <w:rPr>
          <w:b/>
        </w:rPr>
        <w:t>E. 2</w:t>
      </w:r>
    </w:p>
    <w:p>
      <w:r>
        <w:t>Streitig und im folgenden zu prüfen ist, ob die SUVA die den Beschwerdeführern zustehenden Hinterlassenenleistungen zu Recht wegen schuldhafter Herbeiführung des Unfalls um 50% gekürzt hat. a) Wie das Eidg. Versicherungsgericht in Änderung seiner früheren Praxis ( BGE 111 V 201 ) festgestellt hat, sind die Bestimmungen von Art. 32 Ziff. 1 lit. e des Übereinkommens Nr. 128 der Internationalen Arbeitsorganisation (IAO) und Art. 68 lit. f der Europäischen Ordnung der Sozialen Sicherheit (EOSS) direkt anwendbar ( BGE 119 V 171 ff.). Daraus folgt, dass auch im Rahmen der obligatorischen Unfallversicherung Leistungskürzungen wegen grobfahrlässiger Herbeiführung des Versicherungsfalls ( Art. 37 Abs. 2 UVG ) ausgeschlossen sind (RKUV 1994 Nr. U 193 S. 152 ff., BGE 120 V 128 ), wogegen die Kürzung oder Verweigerung von Leistungen infolge Herbeiführung eines Unfalles bei Ausübung eines Verbrechens oder Vergehens insoweit zulässig bleibt, als sie Leistungen an den anspruchsberechtigten Versicherten zum Gegenstand hat (vgl. Art. 68 lit. e in Verbindung mit Art. 33 EOSS sowie BGE 119 V 244 ff. Erw. 3). Der staatsvertragliche Ausschluss der Leistungskürzung oder -verweigerung beschränkt sich indessen auf die Berufsunfallversicherung und findet auf die Versicherung von Nichtberufsunfällen keine Anwendung ( BGE 118 V 309 Erw. 4b). Ob die im vorliegenden Fall angefochtene Kürzung der Hinterlassenenleistungen rechtmässig ist, beurteilt sich somit allein nach dem Landesrecht. b) Hat der Versicherte den Unfall grobfahrlässig herbeigeführt, so werden die Geldleistungen gekürzt. Die Kürzung beträgt jedoch höchstens die Hälfte der Leistungen, wenn der Versicherte im Zeitpunkt des Unfalles für Angehörige zu sorgen hat, denen bei seinem Tode Hinterlassenenrenten zustehen würden, oder wenn er an den Unfallfolgen stirbt ( Art. 37 Abs. 2 UVG ). Hat der Versicherte den Unfall bei Ausübung eines Verbrechens oder Vergehens herbeigeführt, so können die Geldleistungen gekürzt oder in besonders schweren Fällen verweigert werden. Hat der Versicherte im Zeitpunkt des Unfalles für Angehörige zu sorgen, denen bei seinem Tode Hinterlassenenrenten zustünden, oder stirbt er an den Unfallfolgen, so werden Geldleistungen höchstens um die Hälfte gekürzt ( Art. 37 Abs. 3 UVG ). BGE 120 V 224 S. 227 c) Die Bestimmung von Art. 37 Abs. 3 UVG unterscheidet sich von derjenigen gemäss Abs. 2 dieses Artikels zunächst dadurch, dass die Geldleistungen im Falle der Herbeiführung des Unfalles bei Ausübung eines Verbrechens oder Vergehens nicht nur gekürzt, sondern in besonders schweren Fällen auch verweigert werden können. Bezüglich ihrer Anwendbarkeit unterscheiden sich die Bestimmungen darin, dass Abs. 3 die Erfüllung eines objektiven Straftatbestandes und nicht notwendigerweise Absicht oder Grobfahrlässigkeit voraussetzt. Der Unfall muss nicht zwingend schuldhaft herbeigeführt worden sein; es genügt, wenn er bei (anlässlich) der Begehung eines Verbrechens oder Vergehens herbeigeführt wurde (vgl. MAURER, Schweizerisches Unfallversicherungsrecht, Bern 1985, S. 482). Wird der Unfall gleichzeitig grobfahrlässig und bei Ausübung eines Verbrechens oder Vergehens herbeigeführt, findet Art. 37 Abs. 3 UVG als lex specialis Anwendung. Ist eine strafbare Handlung lediglich als Übertretung zu qualifizieren und wurde der Unfall grobfahrlässig herbeigeführt, gelangt Art. 37 Abs. 2 UVG zur Anwendung (RUMO-JUNGO, Die Leistungskürzung oder -verweigerung gemäss Art. 37-39 UVG , Diss. Freiburg 1993, S. 170). d) Der Begriff des Vergehens gemäss Art. 37 Abs. 3 UVG bestimmt sich nach Art. 9 Abs. 2 StGB ( BGE 119 V 245 Erw. 3a mit Hinweisen). Danach gelten als Vergehen die mit Gefängnis als Höchststrafe bedrohten Handlungen. Soweit es das Gesetz vorsieht, gehören dazu auch fahrlässig begangene Handlungen ( Art. 18 StGB ). Kein Vergehen im Sinne von Art. 37 Abs. 3 UVG liegt vor, wenn der Versicherte die strafbare Handlung im Zustand der Unzurechnungsfähigkeit begangen hat ( Art. 11 StGB ). Wurde der Zustand der Unzurechnungsfähigkeit vom Handelnden selbst herbeigeführt, um in diesem Zustand eine strafbare Tat auszuführen, oder hat der Handelnde die Unzurechnungsfähigkeit insofern fahrlässig herbeigeführt, als er die Erfüllung eines Straftatbestandes voraussehen konnte oder musste, findet Art. 11 StGB nicht Anwendung ( Art. 12 StGB ; BGE 117 IV 294 Erw. 2 mit Hinweisen). Die Leistungen sind alsdann trotz Unzurechnungsfähigkeit im Zeitpunkt der Tat gemäss Art. 37 Abs. 3 UVG zu kürzen oder zu verweigern (RUMO-JUNGO, a.a.O., S. 171).</w:t>
      </w:r>
    </w:p>
    <w:p>
      <w:r>
        <w:rPr>
          <w:b/>
        </w:rPr>
        <w:t>E. 3</w:t>
      </w:r>
    </w:p>
    <w:p>
      <w:r>
        <w:t>Zu prüfen ist zunächst, ob der Unfall vom 2. Februar 1991 im Sinne von Art. 37 Abs. 3 UVG bei Ausübung eines Verbrechens oder Vergehens herbeigeführt wurde. a) Gemäss Art. 91 Abs. 1 SVG wird mit Gefängnis oder mit Busse bestraft, wer ein Motorfahrzeug in angetrunkenem Zustand führt. Nach der BGE 120 V 224 S. 228 Legaldefinition des Art. 9 Abs. 2 StGB handelt es sich um ein Vergehen im strafrechtlichen Sinn, welches nicht nur strafbar ist, wenn es vorsätzlich, sondern auch wenn es fahrlässig begangen wird ( Art. 100 Ziff. 1 SVG ). War der Täter zum Zeitpunkt der Tatbegehung nicht zurechnungsfähig, kann er nur unter den Voraussetzungen von Art. 12 StGB betreffend die sog. actio libera in causa oder von Art. 263 StGB betreffend die Verübung einer Tat in selbstverschuldeter Unzurechnungsfähigkeit bestraft werden. Für das Fahren in angetrunkenem Zustand bedeutet dies, dass eine allfällige Unzurechnungsfähigkeit des Fahrzeuglenkers unbeachtlich ist, wenn er zur Zeit, als er noch nicht unzurechnungsfähig war, zumindest in Kauf nahm, dass er in angetrunkenem Zustand noch ein Fahrzeug lenken würde ([eventual]-vorsätzliche actio libera in causa). Hätte der Fahrzeuglenker zur Zeit, als er noch nicht unzurechnungsfähig war, bei pflichtgemässer Aufmerksamkeit voraussehen können, dass er in angetrunkenem Zustand noch fahren würde (fahrlässige actio libera in causa), ist er wegen fahrlässigen Fahrens in angetrunkenem Zustand zu verurteilen ( BGE 117 IV 295 Erw. 2). Ist weder der Tatbestand der vorsätzlichen noch der fahrlässigen actio libera in causa gegeben, kommt Art. 263 StGB zur Anwendung, wonach mit Gefängnis bis zu sechs Monaten oder mit Busse bestraft wird, wer infolge selbstverschuldeter Trunkenheit oder Betäubung unzurechnungsfähig ist und in diesem Zustand eine als Verbrechen oder Vergehen bedrohte Tat verübt ( BGE 104 IV 249 , BGE 93 IV 41 Erw. 2; SUVA-Rechtsprechungsbericht 1987 Nr. 7 S. 13). b) Im vorliegenden Fall steht aufgrund der polizeilichen Ermittlungen fest, dass R. G. am Freitag, dem 1. Februar 1991, um ca. 20.00 Uhr die eheliche Wohnung verliess und die Nacht auswärts verbrachte. Am darauffolgenden Samstag besuchte er einen Kollegen in M., mit welchem er das Mittagessen einnahm. Um ca. 16.00 Uhr verabschiedete er sich, wobei er erwähnte, er werde sich nach Hause begeben. Vor dem Unfall hielt er sich indessen noch im Restaurant K. in N. auf. In der Folge ereignete sich der tödliche Unfall, bei welchem R. G. eine Blutalkoholkonzentration von 2,85 bis 3,15%o aufwies. In welchem Zeitpunkt R. G. mit dem Trinken begonnen hatte, lässt sich den Akten nicht entnehmen und heute nicht mehr abklären. Fest steht indessen, dass R. G. seinen Wohnort mit dem eigenen Personenwagen verlassen und bei Trinkbeginn vorausgesehen hat bzw. bei pflichtgemässer Aufmerksamkeit voraussehen musste, dass er noch ein Motorfahrzeug steuern werde. Ob er bei Antritt der Unfallfahrt im Sinne von Art. 10 StGB unzurechnungsfähig war, BGE 120 V 224 S. 229 ist nicht entscheidend. Denn wer die Weichen für den ins Delikt führenden Geschehensablauf schon in einem Zeitpunkt gestellt hat, in dem er noch uneingeschränkt verantwortlich war, hat die strafrechtlich bedeutsame Handlung bereits und noch im Zustand der vollen Zurechnungsfähigkeit begangen. Hat er im Zustand der vollen Zurechnungsfähigkeit fahrlässig die spätere Deliktsbegehung nicht bedacht, so ist er in Anwendung der allgemeinen Zurechnungsregeln, d.h. insbesondere von Art. 18 StGB , wegen fahrlässiger Tatbegehung (fahrlässige actio libera in causa) strafbar ( BGE 117 IV 295 Erw. 2; nicht veröff. Urteil des Bundesgerichts i.S. W. vom 1.3.93; STRATENWERTH, Schweizerisches Strafrecht, Allgemeiner Teil I, Bern 1982, S. 251; SCHULTZ, Einführung in den allgemeinen Teil des Strafrechts, Bd. I, 4. Aufl., Bern 1982, S. 185; NOLL/TRECHSEL, Schweizerisches Strafrecht, Allgemeiner Teil I, 3. Aufl., Zürich 1990, S. 133). Wenn SUVA und Vorinstanz zum Schluss gelangt sind, dass der Verstorbene den Unfall im Sinne von Art. 37 Abs. 3 UVG bei Ausübung eines Verbrechens oder Vergehens herbeigeführt hat, verstösst dies in beweisrechtlicher Hinsicht weder gegen Art. 4 BV noch gegen Art. 6 Ziff. 2 EMRK . Entgegen der Auffassung der Beschwerdeführer bedurfte es keines Beweises hinsichtlich der Zurechnungsfähigkeit des Versicherten vor dem Unfallereignis. Denn selbst wenn der Verstorbene unmittelbar vor Antritt der Unfallfahrt unzurechnungsfähig gewesen wäre, hat er den Unfall im Sinne einer fahrlässigen actio libera in causa schuldhaft herbeigeführt. Würde anders entschieden, wäre jedenfalls der Tatbestand von Art. 263 StGB gegeben, weil sich der Verstorbene schuldhaft in den Zustand der Unzurechnungsfähigkeit versetzt und in diesem Zustand ein Vergehen (Fahren in angetrunkenem Zustand) verübt hat ( BGE 93 IV 41 Erw. 2). SUVA und Vorinstanz haben die Voraussetzungen für eine Kürzung bzw. Verweigerung der Versicherungsleistungen gemäss Art. 37 Abs. 3 UVG somit zu Recht bejaht.</w:t>
      </w:r>
    </w:p>
    <w:p>
      <w:r>
        <w:rPr>
          <w:b/>
        </w:rPr>
        <w:t>E. 4</w:t>
      </w:r>
    </w:p>
    <w:p>
      <w:r>
        <w:t>Zu prüfen bleibt das Massliche der verfügten Leistungskürzung. a) Die Beschwerdeführer berufen sich darauf, dass der SUVA bei der Kürzung oder Verweigerung von Leistungen gemäss Art. 37 Abs. 3 UVG ein Entschliessungsermessen zustehe und nach dem Wortlaut der Bestimmung von einer Sanktion abgesehen werden könne. Im Rahmen des Entschliessungsermessens sei zu berücksichtigen, dass in der Nichtbetriebsunfallversicherung die Prämien nur in geringem Masse vom Risiko abhängig seien und die Leistungen eher einen sozialen Ausgleich denn BGE 120 V 224 S. 230 eine Versicherungsleistung entsprechend dem Äquivalenzprinzip darstellten. Der Zweck von Art. 37 Abs. 3 UVG liege in der Prävention; die Bestimmung richte sich gegen denjenigen, welcher ein Verbrechen oder Vergehen begangen habe, und nicht gegen die Hinterlassenen. Von der Lehre werde in solchen Fällen daher der Verzicht auf die Verweigerung von Leistungen postuliert (SCHAER/DUC/KELLER, Das Verschulden im Wandel des Privatversicherungs-, Sozialversicherungs- und Haftpflichtrechts, Basel 1992, S. 144 f.). Hiefür spreche auch die systematische Auslegung des Gesetzes, werde doch in Art. 37 Abs. 2 UVG für den Fall der grobfahrlässigen Verursachung des Unfalls eine Kürzung verlangt, wogegen Art. 37 Abs. 3 UVG als "Kann-Vorschrift" formuliert sei. Für die von der SUVA nach dem Grad der Alkoholkonzentration abgestufte Leistungskürzung fehle es bezüglich der Hinterlassenenleistungen an einem vernünftigen Grund. b) Wie bereits die Vorinstanz festgestellt hat, räumt Art. 37 Abs. 3 UVG kein Entschliessungsermessen in dem Sinne ein, dass der UVG-Versicherer frei darüber entscheiden könnte, ob eine Sanktion zu verfügen ist oder nicht. Richtig ist, dass nach dem Wortlaut von Art. 37 Abs. 3 UVG die Geldleistungen gekürzt oder in besonders schweren Fällen verweigert werden können, wenn der Versicherte den Unfall bei Ausübung eines Verbrechens oder Vergehens herbeigeführt hat, wogegen die Geldleistungen nach Art. 37 Abs. 2 UVG gekürzt werden, wenn der Versicherte den Unfall grobfahrlässig herbeigeführt hat. Der SUVA ist indessen darin beizupflichten, dass aus der unterschiedlichen Formulierung nicht auf eine grundlegend andere Regelung der Rechtsfolgen geschlossen werden kann. Vielmehr ergibt sich aus Sinn und Zweck der Bestimmungen, dass die Pflicht zur Kürzung der Leistungen gemäss Art. 37 Abs. 2 UVG grundsätzlich auch im Rahmen von Art. 37 Abs. 3 UVG Geltung hat. Denn es liesse sich nicht rechtfertigen, die Sanktion beim qualifizierten Tatbestand des bei Ausübung eines Verbrechens oder Vergehens herbeigeführten Unfalls milder ausfallen zu lassen als beim verschuldensmässig in der Regel weniger ins Gewicht fallenden Tatbestand der grobfahrlässigen Herbeiführung des Unfalls. Die "Kann"-Formulierung von Art. 37 Abs. 3 erlaubt es indessen, Ausnahmefällen Rechnung zu tragen, so beispielsweise, wenn der bei Ausübung eines Verbrechens oder Vergehens herbeigeführte Unfall nur mit einem geringen oder überhaupt mit keinem Verschulden des Versicherten in Zusammenhang steht (vgl. RUMO-JUNGO, a.a.O., S. 219). Ferner kann berücksichtigt werden, dass Verbrechen und Vergehen in Notwehr oder BGE 120 V 224 S. 231 Notstand ( Art. 33 und 34 StGB ) nicht strafbar sind und daher auch zu keiner Sanktion gemäss Art. 37 Abs. 3 UVG Anlass geben (MAURER, a.a.O., S. 512; RUMO-JUNGO, a.a.O., S. 169). Dem Umstand, dass bei den Hinterlassenenleistungen die Sanktion nicht den Unfallverursacher trifft, hat der Gesetzgeber mit Art. 37 Abs. 3 UVG in der Weise Rechnung getragen, dass die Leistungen nicht gänzlich verweigert und höchstens im Umfang von 50% gekürzt werden dürfen. Soweit in der Lehre die Auffassung vertreten wird, gegenüber den Hinterlassenen des bei Ausübung eines Verbrechens oder Vergehens Getöteten sei auf jede Leistungskürzung zu verzichten, handelt es sich um Erwägungen de lege ferenda, die gegebenenfalls vom Gesetzgeber zu berücksichtigen sind. Sie vermögen den Richter, welcher an das Gesetz gebunden ist ( Art. 113 Abs. 3 und Art. 114bis Abs. 3 BV ), zu keinem andern Schluss zu führen. c) Die SUVA ist bei der Festsetzung der Leistungskürzung von den Empfehlungen der inoffiziellen Ad-hoc-Kommission der Schadenleiter der UVG-Versicherer ausgegangen. Diese stellen zwar keine Weisungen an die Durchführungsorgane der obligatorischen Unfallversicherung dar und sind insbesondere für den Richter nicht verbindlich. Sie sind jedoch geeignet, eine rechtsgleiche Praxis sicherzustellen, weshalb sie bei der Festsetzung der Leistungskürzung zu berücksichtigen sind ( BGE 114 V 318 Erw. 5c). Die Praxis der SUVA hält sich auch insofern im Rahmen der gesetzlichen Ordnung, als sie bei Unfällen unter Alkoholeinfluss den Kürzungssatz vom Ausmass der Trunkenheit abhängig macht. Denn es ist offensichtlich, dass mit zunehmendem Alkoholisierungsgrad die Fahrtüchtigkeit abnimmt und gleichzeitig die Unfallgefahr zunimmt. Es ist dem Grundsatze nach daher nicht zu beanstanden, wenn die SUVA bei Unfällen unter Alkoholeinfluss bei einer Alkoholkonzentration von 0,8 bis 1,2%o in der Regel eine Kürzung von 20% vornimmt und den Kürzungssatz für je 0,4 zusätzliche Promille um jeweils 10% erhöht (vgl. auch RUMO-JUNGO, a.a.O., S. 222). Der im vorliegenden Fall festgestellten Blutalkoholkonzentration von 2,85 bis 3,15%o entspricht praxisgemäss ein Kürzungssatz in Höhe von 70%. Besondere Umstände, welche das Verschulden des Verstorbenen in einem milderen Licht erscheinen liessen oder sonstwie zu berücksichtigen wären, ergeben sich aus den Akten nicht und werden auch von den Beschwerdeführern nicht geltend gemacht. Indem die SUVA die Leistungskürzung auf den gesetzlich zulässigen Höchstsatz von 50% festgesetzt hat, hat sie weder ihr Ermessen missbraucht, noch ist der Entscheid unter dem Gesichtspunkt der BGE 120 V 224 S. 232 Angemessenheit rechtsfehlerhaft. Hieran ändert entgegen den Ausführungen in der Verwaltungsgerichtsbeschwerde nichts, dass die Beschwerdeführer am Unfall völlig unbeteiligt waren. Diesem Umstand wird vom Gesetz insoweit Rechnung getragen, als die Leistungskürzung gemäss Art. 37 Abs. 3 UVG auf höchstens 50% begrenzt ist. Im übrigen bestimmt sich der Umfang der Leistungskürzung allein nach dem Verschulden des Versicherten.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