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187</w:t>
      </w:r>
    </w:p>
    <w:p>
      <w:r>
        <w:t>Bundesgericht (BGE), 1994-01-01, FR</w:t>
      </w:r>
    </w:p>
    <w:p>
      <w:r>
        <w:rPr>
          <w:b/>
        </w:rPr>
        <w:t xml:space="preserve">Quelle: </w:t>
      </w:r>
      <w:r>
        <w:t>https://mcp.opencaselaw.ch/entscheid/bge_BGE_120_V_187</w:t>
      </w:r>
    </w:p>
    <w:p>
      <w:r>
        <w:t>FR: ATF 120 V 187</w:t>
      </w:r>
    </w:p>
    <w:p>
      <w:r>
        <w:t>IT: DTF 120 V 187</w:t>
      </w:r>
    </w:p>
    <w:p>
      <w:pPr>
        <w:pStyle w:val="Heading2"/>
      </w:pPr>
      <w:r>
        <w:t>Regeste</w:t>
      </w:r>
    </w:p>
    <w:p>
      <w:r>
        <w:t>Regeste Art. 3 Abs. 1 lit. f ELG: Einkommensverzicht. - Ein Rechtsgeschäft, mit dem jemand eine ihm gehörende Sache oder eine ihm zustehende Forderung (in casu eine Lebensversicherungspolice) dem Gläubiger eines Dritten verpfändet, um dadurch die Bezahlung der vom Dritten eingegangenen Schulden zu sichern, stellt einen bedingten Verzicht im Sinne von Art. 3 Abs. 1 lit. f ELG dar (Erw. 3b u. c). - Bei Verpfändung einer Versicherungspolice, welche die Ausrichtung einer Leibrente gegen Bezahlung einer Einmalprämie sicherstellt, ist die Leibrente, auf die der Inhaber verzichtet hat, als Verzichtseinkommen zu berücksichtigen und nicht der Rückkaufswert der Police als Verzichtsvermögen, das der Verminderung gemäss Art. 17a ELV unterliegt (Erw. 4).</w:t>
      </w:r>
    </w:p>
    <w:p>
      <w:r>
        <w:t>Regeste Art. 3 al. 1 let. f LPC: renonciation à un élément de revenu. - Tout acte juridique par lequel une personne remet en gage au créancier d'un tiers un bien ou une créance lui appartenant (i. c. une police d'assurance-vie), en vue de garantir le paiement de la dette contractée par ce tiers, constitue un dessaisissement conditionnel au sens de l'art. 3 al. 1 let. f LPC (consid. 3b et c). - En cas de nantissement d'une police d'assurance garantissant le paiement d'une rente viagère en contrepartie d'une prime unique, ce n'est pas la valeur de rachat de la police, comptée comme élément de fortune amortissable en vertu de l'art. 17a OPC-AVS/AI, qui doit être prise en compte, mais la rente viagère à laquelle le titulaire a renoncé, en tant qu'élément de revenu dont il s'est dessaisi (consid. 4).</w:t>
      </w:r>
    </w:p>
    <w:p>
      <w:r>
        <w:t>Regesto Art. 3 cpv. 1 lett. f LPC: rinuncia a elementi di reddito. - Ogni atto giuridico per il quale una persona costituisce in pegno beni o crediti di cui è titolare (in casu una polizza di assicurazione sulla vita) a favore del creditore di un terzo, al fine di garantire il pagamento del debito contratto da quest'ultimo, configura una rinuncia condizionale ai sensi dell'art. 3 cpv. 1 lett. f LPC (consid. 3b e c). - Nel caso di costituzione in pegno di una polizza di assicurazione che garantisce il pagamento di una rendita vitalizia quale controprestazione di un premio unico, non si deve computare il valore di riscatto della polizza, considerata come elemento di sostanza ammortizzabile giusta l'art. 17a OPC, bensì la rendita vitalizia alla quale il titolare ha rinunciato, come elemento di reddito di cui egli si è privato (consid. 4).</w:t>
      </w:r>
    </w:p>
    <w:p>
      <w:pPr>
        <w:pStyle w:val="Heading2"/>
      </w:pPr>
      <w:r>
        <w:t>Erwägungen</w:t>
      </w:r>
    </w:p>
    <w:p>
      <w:r>
        <w:rPr>
          <w:b/>
        </w:rPr>
        <w:t>E. 1</w:t>
      </w:r>
    </w:p>
    <w:p>
      <w:r>
        <w:t>Est tout d'abord litigieux, en l'espèce, le point de savoir si le nantissement d'une police d'assurance-vie auprès du créancier d'un tiers, en vue de garantir le paiement de la dette contractée par ce dernier, BGE 120 V 187 S. 191 constitue, en cas de réalisation du gage, un acte de dessaisissement au sens de l' art. 3 al. 1 let . f LPC.</w:t>
      </w:r>
    </w:p>
    <w:p>
      <w:r>
        <w:rPr>
          <w:b/>
        </w:rPr>
        <w:t>E. 2</w:t>
      </w:r>
    </w:p>
    <w:p>
      <w:r>
        <w:t>a) Selon l' art. 2 al. 1 LPC , les ressortissants suisses domiciliés en Suisse qui peuvent prétendre une rente de l'assurance-vieillesse et survivants, une rente ou une allocation pour impotent de l'assurance-invalidité, doivent bénéficier de prestations complémentaires si leur revenu annuel déterminant n'atteint pas un certain montant. b) Aux termes de l' art. 3 al. 1 let . f LPC, le revenu déterminant le droit aux prestations complémentaires comprend les ressources et parts de fortune dont un ayant droit s'est dessaisi. Il y a lieu d'admettre l'existence d'un dessaisissement au sens de cette disposition lorsque l'assuré a renoncé à des éléments de revenu ou de fortune sans obligation juridique et sans avoir reçu en échange une contre-prestation équivalente ( ATF 115 V 354 consid. 5c et les références; RCC 1990 p. 374 consid. 3a).</w:t>
      </w:r>
    </w:p>
    <w:p>
      <w:r>
        <w:rPr>
          <w:b/>
        </w:rPr>
        <w:t>E. 3</w:t>
      </w:r>
    </w:p>
    <w:p>
      <w:r>
        <w:t>a) Les premiers juges ont considéré qu'en remettant en nantissement les deux polices d'assurance-vie en garantie des créances actuelles et futures que la Banque cantonale vaudoise pourrait avoir contre P., les assurées ont accepté, en cas de réalisation du gage, l'éventualité d'être privées des rentes viagères dont elles bénéficiaient. Selon eux, ce nantissement ne doit toutefois pas être assimilé à un dessaisissement; en effet, l'élément décisif est en l'occurrence la conclusion de polices d'assurance destinées à garantir aux assurées un certain niveau de vie jusqu'à la fin de leur existence, la mise en gage desdites polices n'étant qu'un élément en quelque sorte secondaire dans ce contexte. b) Ce point de vue ne saurait être partagé. Tout acte juridique par lequel une personne s'engage envers le créancier d'un tiers à garantir le paiement de la dette contractée par ce tiers doit être assimilé à un dessaisissement conditionnel au sens de l' art. 3 al. 1 let . f LPC. Sans doute, tant que la condition ne s'est pas réalisée, le dessaisissement n'est-il que virtuel, mais cela ne change rien au problème: toute libéralité peut être soumise à condition et ce qui seul importe, c'est qu'au moment où l'on fixe le revenu déterminant le droit éventuel d'un assuré à une prestation complémentaire, cet assuré dispose ou ne dispose pas de la fortune et du revenu de celle-ci qui doivent être pris en compte selon les règles légales. Dès lors, peu importe la cause ou la nature juridique exacte de l'engagement souscrit par l'assuré en faveur d'autrui. BGE 120 V 187 S. 192 Peu importe également que la condition à laquelle est subordonné l'engagement vienne à échéance avant ou après l'octroi d'une prestation complémentaire. Dès que le créancier peut exiger du garant l'exécution de son engagement, celui-ci a perdu la libre disposition de ses biens, jusqu'à concurrence du montant qui lui est réclamé en exécution de sa garantie. Cela doit permettre, le cas échéant, de prendre en compte un élément de revenu ou une part de fortune qui a disparu postérieurement à l'octroi d'une prestation complémentaire à la suite, par exemple, d'un cautionnement ou d'un autre engagement en faveur d'autrui souscrit avant la décision par laquelle l'administration a fixé le montant de la prestation. Ces principes valent notamment pour toutes les formes de mise en gage d'un bien de l'assuré en garantie de la dette d'un tiers, sans qu'il existe à l'égard de ce dernier une obligation juridique de l'assuré de souscrire un tel engagement. c) Dans le cas particulier, en nantissant leurs polices de rente viagère, les intimées ont accepté, en toute connaissance de cause, l'éventualité d'être privées des prestations assurées par la Patria. Ce faisant, elles ont disposé de leurs biens au profit de P., sans obligation juridique à l'égard de celui-ci et sans recevoir la moindre contre-prestation en échange. Aussi ne peuvent-elles aujourd'hui faire supporter à la collectivité publique qui finance les prestations complémentaires les conséquences de leur imprévoyance. A cet égard, le précédent invoqué par l'OFAS à l'appui de son recours (arrêt non publié M. du 9 août 1991) est pertinent. Dans cette affaire, des titres appartenant à un interdit avaient été mis en gage, avec l'autorisation des autorités de tutelle, en vue de garantir un emprunt contracté auprès d'une banque par le père et tuteur de l'assuré. Le Tribunal fédéral des assurances a jugé qu'un tel engagement était opposable à l'assuré qui requérait des prestations complémentaires, car il était le fait d'un tuteur agissant avec l'approbation des autorités de tutelle. Si, à l'occasion du calcul de la prestation complémentaire, l'on prend en compte la fortune dont un assuré faible d'esprit a été dessaisi par son père et tuteur avec l'accord des autorités de tutelle censées protéger ses intérêts, à plus forte raison doit-on le faire dans le cas d'espèce. Dès lors, le recours de l'OFAS est bien fondé.</w:t>
      </w:r>
    </w:p>
    <w:p>
      <w:r>
        <w:rPr>
          <w:b/>
        </w:rPr>
        <w:t>E. 4</w:t>
      </w:r>
    </w:p>
    <w:p>
      <w:r>
        <w:t>Lors du calcul des prestations complémentaires qui sont l'objet des décisions litigieuses, la caisse a pris en compte les valeurs de rachat des deux polices, comptées comme éléments de fortune amortissables en vertu de l' art. 17a OPC-AVS/AI . BGE 120 V 187 S. 193 De son côté, l'OFAS est d'avis que ce sont bien plutôt les rentes viagères, auxquelles les intimées ont renoncé par le nantissement des polices d'assurance, qui doivent être prises en considération en tant qu'éléments de revenu dont elles se sont dessaisies. C'est le second point litigieux dans la présente cause. Eu égard à la nature de l'élément patrimonial objet du dessaisissement, il y a lieu de se ranger à l'opinion de l'office recourant. En effet, en prenant l'engagement de garantir le paiement des dettes contractées par P. auprès de la Banque cantonale vaudoise par le nantissement de ces polices d'assurance, les intimées ont accepté l'éventualité d'être privées d'éléments de revenu consistant dans les rentes mensuelles dont elles devaient bénéficier leur vie durant, et non pas simplement de la valeur de rachat des polices d'assurance-vie. Dans ces conditions, le revenu déterminant le droit éventuel des intimées aux prestations complémentaires comprend la contre-valeur des rentes viagères, en tant qu'éléments de revenu dont elles se sont dessaisies au profit de la banque créancière de leur fils et neveu, sans obligation à l'égard de celui-ci et sans en recevoir une quelconque contre-prestation. Sur ce point également, le recours se révèle bien fondé et la cause doit être renvoyée à la caisse, à qui il appartiendra de rendre de nouvelles décisions, conformément à ce qui a été exposé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