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54 vom 1. Januar 1994</w:t>
      </w:r>
    </w:p>
    <w:p>
      <w:r>
        <w:t>Bundesgericht (BGE), 1994-01-01, DE</w:t>
      </w:r>
    </w:p>
    <w:p>
      <w:r>
        <w:rPr>
          <w:b/>
        </w:rPr>
        <w:t xml:space="preserve">Quelle: </w:t>
      </w:r>
      <w:r>
        <w:t>https://mcp.opencaselaw.ch/entscheid/bge_BGE_120_Ib_54</w:t>
      </w:r>
    </w:p>
    <w:p>
      <w:r>
        <w:t>FR: BGE BGE 120 Ib 54 du 1 janvier 1994</w:t>
      </w:r>
    </w:p>
    <w:p>
      <w:r>
        <w:t>IT: BGE BGE 120 Ib 54 del 1 gennaio 1994</w:t>
      </w:r>
    </w:p>
    <w:p>
      <w:pPr>
        <w:pStyle w:val="Heading2"/>
      </w:pPr>
      <w:r>
        <w:t>Regeste</w:t>
      </w:r>
    </w:p>
    <w:p>
      <w:r>
        <w:t>Regeste Art. 17 SVG, Art. 68 StGB; analoge Anwendung von Art. 68 Ziff. 2 StGB auf den Führerausweisentzug. Wurde wegen eines Verkehrsdelikts der Führerausweis rechtskräftig entzogen, so darf die dafür ausgesprochene Entzugsdauer nicht mehr geändert werden, wenn in analoger Anwendung von Art. 68 Ziff. 2 StGB für ein vor dieser Verfügung begangenes Verkehrsdelikt eine Zusatzmassnahme ausgesprochen werden muss; Grundsätze für die Bemessung der zusätzlichen Dauer des Führerausweisentzuges.</w:t>
      </w:r>
    </w:p>
    <w:p>
      <w:r>
        <w:t>Regeste Art. 17 LCR, art. 68 CP; application par analogie de l'art. 68 ch. 2 CP au retrait de permis. Si une décision de retrait de permis prise à la suite d'une infraction routière est entrée en force, la durée de la mesure ne peut plus être modifiée en cas d'application par analogie de l'art. 68 ch. 2 CP, lorsqu'il s'agit de prononcer une mesure complémentaire en raison d'une autre infraction routière commise avant cette décision; principes applicables à la fixation de la durée du retrait de permis complémentaire.</w:t>
      </w:r>
    </w:p>
    <w:p>
      <w:r>
        <w:t>Regesto Art. 17 LCS, art. 68 CP; applicazione analogica dell'art. 68 n. 2 CP alla revoca della licenza di condurre. Ove una decisione di revoca della licenza di condurre ordinata in seguito di un'infrazione in materia di circolazione stradale sia passata in giudicato, la durata della revoca riferita a tale infrazione non può più essere modificata in caso di applicazione analogica dell'art. 68 n. 2 CP, quando si tratti di pronunciare una misura addizionale a causa di un'infrazione in materia di circolazione stradale commessa anteriormente a detta decisione; principi applicabili alla determinazione della durata addizionale della revoca della licenza.</w:t>
      </w:r>
    </w:p>
    <w:p>
      <w:pPr>
        <w:pStyle w:val="Heading2"/>
      </w:pPr>
      <w:r>
        <w:t>Erwägungen</w:t>
      </w:r>
    </w:p>
    <w:p>
      <w:r>
        <w:rPr>
          <w:b/>
        </w:rPr>
        <w:t>E. 1</w:t>
      </w:r>
    </w:p>
    <w:p>
      <w:r>
        <w:t>a) Der Beschwerdeführer wendet sich gegen die Dauer des zusätzlich ausgesprochenen Entzugs, da der Vorfall vom 7. September 1991, für den die Zusatzmassnahme ausgesprochen wurde, als weniger schwer zu gewichten sei als jener vom 18. November 1991, wofür ihm der Ausweis für vier Monate entzogen worden sei. Es stelle eine Verletzung von Art. 30 Abs. 2 VZV (SR 741.51) und einen Ermessensmissbrauch dar, dafür einen Entzug von 14 Monaten Dauer auszusprechen. Da er sich seit dem erfolgten Entzug nichts mehr habe zuschulden kommen lassen, bleibe für eine nochmalige administrative Massnahme im Sinne eines Warnungsentzugs kein Raum. b) Die Vorinstanz ging mit dem Strafrichter von einem nicht mehr leichten Verschulden des Beschwerdeführers aus. Am 7. September 1991 habe er sich vorsätzlich einer Blutprobe entzogen und auf seiner Heimfahrt in nichtfahrfähigem Zustand ein Motorfahrzeug gelenkt. Trotz hängigen Straf- und Administrativverfahrens habe er sich kurze Zeit später eines gleichgelagerten Delikts schuldig gemacht und mit einem Blutalkoholgehalt von 1,57 Gewichtspromille sich selber und die andern Verkehrsteilnehmer erheblich gefährdet. Da zudem sein automobilistischer Leumund leicht getrübt sei, sei auch unter Berücksichtigung der beruflichen Notwendigkeit BGE 120 Ib 54 S. 57 des Führerausweises für den Beschwerdeführer eine Gesamtentzugsdauer von 18 Monaten für die beiden Vorfälle angemessen.</w:t>
      </w:r>
    </w:p>
    <w:p>
      <w:r>
        <w:rPr>
          <w:b/>
        </w:rPr>
        <w:t>E. 2</w:t>
      </w:r>
    </w:p>
    <w:p>
      <w:r>
        <w:t>a) Nach Art. 17 Abs. 1 lit. b SVG (SR 741.01) beträgt die Dauer des Führerausweisentzugs mindestens zwei Monate, wenn der Führer in angetrunkenem Zustand gefahren ist; im übrigen ist sie nach den Umständen festzusetzen, wobei ihre Bestimmung Sache der kantonalen Behörde ist, die in dieser Beziehung über einen weiten Spielraum des Ermessens verfügt. Bei einem Warnungsentzug sind die Schwere des Verschuldens, der Leumund des Motorfahrzeugführers sowie die berufliche Notwendigkeit, ein Motorfahrzeug zu führen, zu berücksichtigen ( Art. 33 Abs. 2 VZV ; BGE 105 Ib 205 E. 2a). Bei Verwirklichung mehrerer Entzugsgründe durch eine Handlung ist nach der Rechtsprechung Art. 68 StGB sinngemäss anzuwenden; dasselbe gilt für den Fall, wo durch mehrere Handlungen mehrere Entzugsgründe gesetzt werden bzw. die zu beurteilenden Handlungen noch vor Erlass einer früheren Entzugsverfügung begangen wurden ( BGE 113 Ib 53 E. 3, BGE 108 Ib 258 E. 2a). Hat die Behörde eine Handlung zu beurteilen, die vor Erlass einer früheren Administrativmassnahme begangen wurde, so ist in Anwendung von Art. 68 Ziff. 2 StGB eine Zusatzmassnahme dafür auszusprechen; der Täter soll durch die Aufteilung der Strafverfolgung in mehrere Verfahren nicht benachteiligt und soweit als möglich auch nicht besser gestellt werden ( BGE 116 IV 14 E. 2a, BGE 109 IV 90 E. 2b, BGE 69 IV 54 E. 2). b) Gegen diese beim Führerausweisentzug zu Warnungszwecken analog anwendbaren Grundsätze des Bundesrechts verstiess die Vorinstanz, indem sie offenliess, "welche Massnahmedauer für jeden einzelnen Vorfall festzusetzen wäre" und die Entzugsdauer für beide Vorfälle zusammen festlegte, um dann die bereits verfügte Entzugsdauer davon in Abzug zu bringen. Sie setzte so eine Gesamt- anstelle einer Zusatzmassnahme fest (vgl. zu dieser Unterscheidung BGE 116 IV 14 E. 2a). Dadurch wurde der zweite, bereits beurteilte Vorfall wieder aufgegriffen, was gegen die Rechtskraft des ergangenen Urteils verstösst ( BGE 80 IV 223 E. 1 S. 224; TRECHSEL, Kurzkommentar Strafgesetzbuch, Zürich 1989, N. 25 zu Art. 68). In analoger Anwendung von Art. 68 Ziff. 2 StGB ist folgendermassen zu verfahren: Es ist davon auszugehen, dass der Beschwerdeführer mit der Tat vom 18. November 1991 eine Entzugsdauer von vier Monaten verwirkt hat, an BGE 120 Ib 54 S. 58 der wegen der Rechtskraft der entsprechenden Verfügung - soweit es um die Betrachtung des Vorfalls vom 18. November 1991 für sich allein geht - nichts geändert werden darf. Sodann ist für den ersten Vorfall vom 7. September 1991 für sich allein festzulegen, welche Entzugsdauer als angemessen zu betrachten ist. Erweist sich der bereits beurteilte Vorfall, der zu einer Entzugsdauer von vier Monaten führte, als der schwerste, ist gemäss Art. 68 Ziff. 1 StGB zu bestimmen, welche Erhöhung der Entzugsdauer von vier Monaten dem Vorfall vom 7. September 1991 gerecht wird; das ergibt die angemessene Dauer der Zusatzmassnahme. Nur so ist sichergestellt, dass der Beschwerdeführer in analoger Anwendung der Vorschrift von Art. 68 Ziff. 2 StGB nicht strenger angefasst wird, als wenn beide Vorfälle gleichzeitig beurteilt worden wären. Ist die für den Vorfall vom 7. September 1991 in Betracht fallende Massnahme die strengste, gilt das gleiche mutatis mutandis, d.h. es ist zu prüfen, um wieviel kürzer die Entzugsdauer für das Delikt vom 18. November 1991 in Anwendung von Art. 68 Ziff. 1 StGB ausgefallen wäre, und diese Differenz ist von der für den Vorfall vom 7. September 1991 für sich allein in Betracht zu ziehenden Entzugsdauer in Abzug zu bringen, um die zu verhängende Zusatzentzugsdauer zu erhalten. Dass der Beschwerdeführer "aus dem ersten Vorfall trotz hängigem Straf- und Administrativverfahren keine Lehren gezogen, sondern sich keine drei Monate später erneut eines gleichgelagerten Delikts schuldig gemacht hat", war bei der Beurteilung des Vorfalls vom 18. November 1991 zu berücksichtigen und ist mit der Entzugsverfügung für die Dauer von vier Monaten, an welche die Vorinstanz heute nach dem Gesagten gebunden ist, als abgegolten anzusehen. Das gleiche gilt für den Umstand, dass der Beschwerdeführer am 18. November 1991 mit seiner Fahrt bei einem Blutalkoholgehalt von 1,57 Gewichtspromille sich selber und die andern Verkehrsteilnehmer erheblich gefährdet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