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285 vom 1. Januar 1994</w:t>
      </w:r>
    </w:p>
    <w:p>
      <w:r>
        <w:t>Bundesgericht (BGE), 1994-01-01, IT</w:t>
      </w:r>
    </w:p>
    <w:p>
      <w:r>
        <w:rPr>
          <w:b/>
        </w:rPr>
        <w:t xml:space="preserve">Quelle: </w:t>
      </w:r>
      <w:r>
        <w:t>https://mcp.opencaselaw.ch/entscheid/bge_BGE_120_Ib_285</w:t>
      </w:r>
    </w:p>
    <w:p>
      <w:r>
        <w:t>FR: BGE BGE 120 Ib 285 du 1 janvier 1994</w:t>
      </w:r>
    </w:p>
    <w:p>
      <w:r>
        <w:t>IT: BGE BGE 120 Ib 285 del 1 gennaio 1994</w:t>
      </w:r>
    </w:p>
    <w:p>
      <w:pPr>
        <w:pStyle w:val="Heading2"/>
      </w:pPr>
      <w:r>
        <w:t>Regeste</w:t>
      </w:r>
    </w:p>
    <w:p>
      <w:r>
        <w:t>Regeste Art. 16 Abs. 2 und 3 lit. a, Art. 90 Ziff. 2 SVG; Art. 32 Abs. 2 VZV. In schwerer Weise gefährdet den Verkehr im Sinne von Art. 16 Abs. 3 lit. a SVG, wer durch grobe Verletzung der Verkehrsregeln im Sinne von Art. 90 Ziff. 2 SVG eine ernstliche Gefahr für die Sicherheit anderer hervorruft oder in Kauf nimmt. Diese beiden Vorschriften stimmen inhaltlich miteinander überein (Klarstellung der Rechtsprechung).</w:t>
      </w:r>
    </w:p>
    <w:p>
      <w:r>
        <w:t>Regeste Art. 16 al. 2 et 3, art. 90 ch. 2 LCR; art. 32 al. 2 OAC. Compromet gravement la sécurité de la route au sens de l'art. 16 al. 3 let. a LCR, celui qui, par la violation grave d'une règle de la circulation au sens de l'art. 90 ch. 2 LCR, crée un danger sérieux pour la sécurité d'autrui ou en prend le risque. Les deux dispositions ont une portée identique (clarification de la jurisprudence).</w:t>
      </w:r>
    </w:p>
    <w:p>
      <w:r>
        <w:t>Regesto Art. 16 cpv. 2 e 3 lett. a, art. 90 cpv. 2 LCS; art. 32 cpv. 2 OAC. Compromettere gravemente la sicurezza della circolazione, ai sensi dell'art. 16 cpv. 3 lett. a LCS, equivale a cagionare, violando gravemente le norme della circolazione, un serio pericolo per la sicurezza altrui o assumerne il rischio, ai sensi dell'art. 90 cpv. 2 LCS. Le due nozioni sono identiche (chiarimento della giurisprudenza).</w:t>
      </w:r>
    </w:p>
    <w:p>
      <w:pPr>
        <w:pStyle w:val="Heading2"/>
      </w:pPr>
      <w:r>
        <w:t>Volltext</w:t>
      </w:r>
    </w:p>
    <w:p>
      <w:r>
        <w:t>Bundesgericht (BGE) Band Ib 1994 BGE 120 Ib 285 Tribunal fédéral (ATF) Volume Ib 1994 BGE 120 Ib 285 Tribunale federale (DTF) Volume Ib 1994 BGE 120 Ib 285</w:t>
      </w:r>
    </w:p>
    <w:p>
      <w:r>
        <w:t>Regeste Art. 16 Abs. 2 und 3 lit. a, Art. 90 Ziff. 2 SVG; Art. 32 Abs. 2 VZV. In schwerer Weise gefährdet den Verkehr im Sinne von Art. 16 Abs. 3 lit. a SVG, wer durch grobe Verletzung der Verkehrsregeln im Sinne von Art. 90 Ziff. 2 SVG eine ernstliche Gefahr für die Sicherheit anderer hervorruft oder in Kauf nimmt. Diese beiden Vorschriften stimmen inhaltlich miteinander überein (Klarstellung der Rechtsprechung). Regeste Art. 16 al. 2 et 3, art. 90 ch. 2 LCR; art. 32 al. 2 OAC. Compromet gravement la sécurité de la route au sens de l'art. 16 al. 3 let. a LCR, celui qui, par la violation grave d'une règle de la circulation au sens de l'art. 90 ch. 2 LCR, crée un danger sérieux pour la sécurité d'autrui ou en prend le risque. Les deux dispositions ont une portée identique (clarification de la jurisprudence). Regesto Art. 16 cpv. 2 e 3 lett. a, art. 90 cpv. 2 LCS; art. 32 cpv. 2 OAC. Compromettere gravemente la sicurezza della circolazione, ai sensi dell'art. 16 cpv. 3 lett. a LCS, equivale a cagionare, violando gravemente le norme della circolazione, un serio pericolo per la sicurezza altrui o assumerne il rischio, ai sensi dell'art. 90 cpv. 2 LCS. Le due nozioni sono identiche (chiarimento della giurisprudenza).</w:t>
      </w:r>
    </w:p>
    <w:p>
      <w:r>
        <w:t>Urteilskopf 120 Ib 285 40. Estratto della sentenza della Corte di cassazione penale del 18 marzo 1994 nella causa X. c. Ufficio della circolazione del Cantone dei Grigioni (ricorso di diritto amministrativo) Regeste Art. 16 Abs. 2 und 3 lit. a, Art. 90 Ziff. 2 SVG ; Art. 32 Abs. 2 VZV . In schwerer Weise gefährdet den Verkehr im Sinne von Art. 16 Abs. 3 lit. a SVG , wer durch grobe Verletzung der Verkehrsregeln im Sinne von Art. 90 Ziff. 2 SVG eine ernstliche Gefahr für die Sicherheit anderer hervorruft oder in Kauf nimmt. Diese beiden Vorschriften stimmen inhaltlich miteinander überein (Klarstellung der Rechtsprechung). Erwägungen ab Seite 285 BGE 120 Ib 285 S. 285 Dai considerandi: 1. La licenza di condurre o la licenza per allievo conducente può essere revocata al conducente che, violando le norme della circolazione, ha compromesso la sicurezza del traffico o disturbato terzi; nei casi di lieve entità può essere pronunciato un ammonimento (art. 16 cpv. 2 LCS; RS 741.01). Secondo l'art. 16 cpv. 3 lett. a LCS, la licenza di condurre o la licenza per allievo conducente deve essere revocata se il conducente ha compromesso gravemente la sicurezza della circolazione. Ciò è il caso, conformemente all' art. 32 cpv. 2 OAC (RS 741.51), quando il conducente "violando gravemente le norme della circolazione cagiona un serio pericolo per la sicurezza altrui o ne assume il rischio". È punito con le sanzioni penali stabilite dall'art. 90 n. 2 LCS chi "violando gravemente le norme della circolazione, cagiona un serio pericolo per la sicurezza altrui o assume il rischio di detto pericolo". La giurisprudenza del Tribunale federale ha rilevato soltanto un certo parallelismo tra l'infrazione grave delle norme della circolazione stradale ai sensi dell'art. 90 n. 2 LCS e il fatto di compromettere gravemente la sicurezza della circolazione ai sensi dell'art. 16 cpv. 3 lett. a LCS comportante la revoca obbligatoria della licenza di condurre; ove non sussista una ragione particolare che vi osti nel caso concreto, le due nozioni simili contenute nella stessa legge non possono essere interpretate in modo diverso ( DTF 118 IV 188 consid. 2b; DTF 105 Ib 120 ; DTF 102 Ib 196 consid. 3b). La disposizione esecutiva dell' art. 32 cpv. 2 OAC definisce la messa in serio pericolo della sicurezza della circolazione usando lo stesso testo dell'art. 90 n. 2 LCS. L' art. 32 cpv. 2 OAC è stato adottato solo dopo la giurisprudenza contenuta in DTF 102 Ib 196 , con cui era stato rilevato un parallelismo tra le due nozioni. In seguito alla precisazione contenuta nell' art. 32 cpv. 2 OAC , non si giustifica più di mantenere una riserva quanto all'equiparazione tra le nozioni di cui all'art. 16 cpv. 3 lett. a LCS e all'art. 90 n. 2 LCS. Esse devono essere ritenute uguali a tutti gli effetti.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