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193 vom 7. September 1993</w:t>
      </w:r>
    </w:p>
    <w:p>
      <w:r>
        <w:t>Bundesgericht (BGE), 1993-09-07, DE</w:t>
      </w:r>
    </w:p>
    <w:p>
      <w:r>
        <w:rPr>
          <w:b/>
        </w:rPr>
        <w:t xml:space="preserve">Quelle: </w:t>
      </w:r>
      <w:r>
        <w:t>https://mcp.opencaselaw.ch/entscheid/bge_BGE_120_Ib_193</w:t>
      </w:r>
    </w:p>
    <w:p>
      <w:r>
        <w:t>FR: BGE BGE 120 Ib 193 du 7 septembre 1993</w:t>
      </w:r>
    </w:p>
    <w:p>
      <w:r>
        <w:t>IT: BGE BGE 120 Ib 193 del 7 settembre 1993</w:t>
      </w:r>
    </w:p>
    <w:p>
      <w:pPr>
        <w:pStyle w:val="Heading2"/>
      </w:pPr>
      <w:r>
        <w:t>Regeste</w:t>
      </w:r>
    </w:p>
    <w:p>
      <w:r>
        <w:t>Regeste Widerruf einer erleichterten Einbürgerung (Art. 41 BüG). Eine erleichterte Einbürgerung kann nur unter den in Art. 41 BüG festgehaltenen Voraussetzungen widerrufen werden.</w:t>
      </w:r>
    </w:p>
    <w:p>
      <w:r>
        <w:t>Regeste Révocation d'une naturalisation facilitée (art. 41 LN). Une naturalisation facilitée ne peut être révoquée qu'aux conditions posées à l'art. 41 LN.</w:t>
      </w:r>
    </w:p>
    <w:p>
      <w:r>
        <w:t>Regesto Revoca di una naturalizzazione agevolata (art. 41 LCit). Una naturalizzazione agevolata può unicamente essere revocata in virtù dei presupposti stabiliti dall'art. 41 LCit.</w:t>
      </w:r>
    </w:p>
    <w:p>
      <w:pPr>
        <w:pStyle w:val="Heading2"/>
      </w:pPr>
      <w:r>
        <w:t>Erwägungen</w:t>
      </w:r>
    </w:p>
    <w:p>
      <w:r>
        <w:rPr>
          <w:b/>
        </w:rPr>
        <w:t>E. 2</w:t>
      </w:r>
    </w:p>
    <w:p>
      <w:r>
        <w:t>Der Beschwerdeführer macht geltend, die Voraussetzungen für einen Widerruf der Einbürgerungsverfügung seien vorliegend nicht gegeben. BGE 120 Ib 193 S. 194 Die Rechtsprechung und die Lehre haben allgemeine Grundsätze entwickelt, unter welchen Voraussetzungen ein Verwaltungsakt von der verfügenden Behörde widerrufen werden kann, beziehungsweise unter welchen Voraussetzungen ein Verwaltungsakt ungültig ist (statt vieler: HÄFELIN/MÜLLER, Grundriss des Allgemeinen Verwaltungsrechts, Zürich 1993, Rz. 760 ff.). Es ist aber anerkannt, dass diese allgemeinen Grundsätze nur gelten, wenn das Gesetz die Widerrufbarkeit einer Verfügung nicht selber regelt (HÄFELIN/MÜLLER, Rz. 814; WEBER-DÜRLER, Vertrauensschutz im öffentlichen Recht, Basel 1983, S. 169 ff.).</w:t>
      </w:r>
    </w:p>
    <w:p>
      <w:r>
        <w:rPr>
          <w:b/>
        </w:rPr>
        <w:t>E. 3</w:t>
      </w:r>
    </w:p>
    <w:p>
      <w:r>
        <w:t>Der Bundesrat kann die nach Art. 5 erteilte Einbürgerung jederzeit nichtig erklären, wenn sie auf betrügerische Weise erlangt worden ist.</w:t>
      </w:r>
    </w:p>
    <w:p>
      <w:r>
        <w:rPr>
          <w:b/>
        </w:rPr>
        <w:t>E. 4</w:t>
      </w:r>
    </w:p>
    <w:p>
      <w:r>
        <w:t>Der Widerruf einer erleichterten Einbürgerung richtet sich somit ausschliesslich nach Art. 41 BüG . Nach dieser Bestimmung kann eine Einbürgerung innert fünf Jahren für nichtig erklärt werden, wenn sie durch falsche Angaben oder Verheimlichung erheblicher Tatsachen erschlichen worden ist. Das EJPD behauptet weder im angefochtenen Entscheid noch in seiner Vernehmlassung, dass diese Voraussetzungen im vorliegenden Fall gegeben seien. Auch den Akten ist nichts zu entnehmen, was auf eine Erschleichung des Bürgerrechts hindeuten würde. Es ist unbestritten geblieben, dass der Beschwerdeführer das Departement auf das hängige Scheidungsverfahren telefonisch aufmerksam gemacht hat und dass er im Zeitpunkt der Gesuchseinreichung mit seiner Frau in ehelicher Gemeinschaft gelebt hat. Aus den Akten geht zudem hervor, dass die Ehefrau dem Beschwerdeführer Zwillinge geboren hat. Dass die Einbürgerung erfolgt ist, obgleich im Zeitpunkt des Entscheides die Voraussetzungen nicht mehr gegeben waren, ist teilweise auf das wenig sorgfältige Vorgehen der Behörde zurückzuführen. Dauert ein Verfahren derart lange, wie im vorliegenden Fall, wäre es angebracht, vor dem Entscheid bei den kantonalen Behörden nachzufragen, ob die erteilte Auskunft (insbesondere bezüglich bestehender ehelicher Gemeinschaft) noch immer zutrifft. Eine solche Nachfrage wäre ganz besonders angebracht gewesen, nachdem der Beschwerdeführer dem zuständigen Departement unbestrittenermassen telephonisch mitgeteilt hat, dass eine Scheidungsklage hängig sei. Die Verwaltungsgerichtsbeschwerde erweist sich somit als begründet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