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256 vom 1. Januar 1994</w:t>
      </w:r>
    </w:p>
    <w:p>
      <w:r>
        <w:t>Bundesgericht (BGE), 1994-01-01, DE</w:t>
      </w:r>
    </w:p>
    <w:p>
      <w:r>
        <w:rPr>
          <w:b/>
        </w:rPr>
        <w:t xml:space="preserve">Quelle: </w:t>
      </w:r>
      <w:r>
        <w:t>https://mcp.opencaselaw.ch/entscheid/bge_BGE_120_Ia_256</w:t>
      </w:r>
    </w:p>
    <w:p>
      <w:r>
        <w:t>FR: BGE BGE 120 Ia 256 du 1 janvier 1994</w:t>
      </w:r>
    </w:p>
    <w:p>
      <w:r>
        <w:t>IT: BGE BGE 120 Ia 256 del 1 gennaio 1994</w:t>
      </w:r>
    </w:p>
    <w:p>
      <w:pPr>
        <w:pStyle w:val="Heading2"/>
      </w:pPr>
      <w:r>
        <w:t>Regeste</w:t>
      </w:r>
    </w:p>
    <w:p>
      <w:r>
        <w:t>Regeste Auswirkungen der kassatorischen Natur der staatsrechtlichen Beschwerde bei Rechtsöffnungen. Hebt das Bundesgericht auf staatsrechtliche Beschwerde hin einen Entscheid auf, mit dem die Rechtsöffnung gewährt oder verweigert worden ist, so kann es in der Regel nicht auch selber über die Rechtsöffnung entscheiden. Eine Ausnahme von dieser Regel besteht, wenn das Bundesgericht den angefochtenen Entscheid nicht nur auf Willkür hin überprüft und die Rechtslage als genügend klar betrachtet werden kann (Präzisierung der Rechtsprechung).</w:t>
      </w:r>
    </w:p>
    <w:p>
      <w:r>
        <w:t>Regeste Effets de la nature cassatoire du recours de droit public en matière de mainlevée d'opposition. Quand, saisi d'un recours de droit public, le Tribunal fédéral annule une décision par laquelle la mainlevée d'opposition a été accordée ou refusée, il ne peut pas, en règle générale, se prononcer lui-même sur la mainlevée. Il y a exception à cette règle lorsque le Tribunal fédéral n'examine pas la décision attaquée uniquement sous l'angle de l'arbitraire et que la situation juridique peut être considérée comme suffisamment claire (précision de la jurisprudence).</w:t>
      </w:r>
    </w:p>
    <w:p>
      <w:r>
        <w:t>Regesto Effetti della natura cassatoria del ricorso di diritto pubblico in materia di rigetto dell'opposizione. Qualora il Tribunale federale, adito con un ricorso di diritto pubblico, annulli una decisione con cui è stato accordato o rifiutato il rigetto dell'opposizione, esso non statuisce, in linea di principio, direttamente sul rigetto dell'opposizione. Un'eccezione a questa regola sussiste quando il Tribunale federale non esamina la decisione impugnata unicamente dal profilo dell'arbitrio e la situazione giuridica può essere considerata sufficientemente chiara (precisazione della giurisprudenza).</w:t>
      </w:r>
    </w:p>
    <w:p>
      <w:pPr>
        <w:pStyle w:val="Heading2"/>
      </w:pPr>
      <w:r>
        <w:t>Erwägungen</w:t>
      </w:r>
    </w:p>
    <w:p>
      <w:r>
        <w:rPr>
          <w:b/>
        </w:rPr>
        <w:t>E. 1</w:t>
      </w:r>
    </w:p>
    <w:p>
      <w:r>
        <w:t>a) Der Entscheid der Schuldbetreibungs- und Konkurskommission des Obergerichts ist ein letztinstanzlicher kantonaler Endentscheid im Sinne von Art. 86 f. OG. Da kein anderes Rechtsmittel an das Bundesgericht offen steht, ist die staatsrechtliche Beschwerde wegen Verletzung von Art. 4 BV grundsätzlich zulässig. b) Auf den Antrag des Beschwerdeführers, den angefochtenen Entscheid nicht nur aufzuheben, sondern die definitive Rechtsöffnung direkt zu erteilen, kann wegen der kassatorischen Natur der staatsrechtlichen Beschwerde nicht eingetreten werden. Wohl hat das Bundesgericht in seiner neusten Rechtsprechung vereinzelt solche Anträge als grundsätzlich zulässig erklärt, wenn die Rechtslage als genügend klar betrachtet werden könne ( BGE 116 II 627 ; Entscheid v. 13. August 1993 i.S. F., zitiert bei SPÜHLER, Die Praxis der staatsrechtlichen Beschwerde, Bern 1994, S. 27 Rz. 12a). Gleichzeitig hat es aber die entsprechenden Anträge bei provisorischen Rechtsöffnungen verweigert ( BGE 111 III 10 E. 1; BGE 98 Ia 350 ). Eine Begründung für diese unterschiedliche Behandlung findet sich in der Regel nicht ( BGE 116 II 627 ; BGE 111 III 10 E. 1; BGE 101 Ia 160 E. 4; BGE 98 Ia 323 E. 6; BGE 98 Ia 350 E. 1). Aus BGE 72 I 96 und BGE 98 Ia 537 ist aber ersichtlich, wie es zu dieser Rechtsprechung gekommen ist. Die über die blosse Aufhebung des angefochtenen Entscheides hinausgehenden Anträge werden dort nämlich nur als zulässig angesehen, wenn das Bundesgericht den angefochtenen Entscheid nicht nur auf Willkür hin überprüft. Eine Verletzung anderer verfassungsmässiger Rechte als des Willkürverbotes wird aber regelmässig nur bei der definitiven Rechtsöffnung geltend gemacht werden können, sei BGE 120 Ia 256 S. 258 es, dass das zu vollstreckende Urteil gegen Art. 59 BV verstossen haben soll oder eine Verletzung eines Konkordates oder eines Staatsvertrages gerügt wird (Art. 84 Abs. 1 Bst. b und c OG). Das entscheidende Kriterium für die Zulässigkeit weitergehender Anträge ist somit die vorgebrachte Rüge und nicht die Art der verlangten Rechtsöffnung. Vorliegend rügt der Beschwerdeführer aber ausschliesslich eine Verletzung von Art. 4 BV . Das Bundesgericht kann deshalb auch bei einer Gutheissung der Beschwerde nicht über die Rechtsöffnung selber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